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adjustRightInd w:val="0"/>
        <w:snapToGrid w:val="0"/>
        <w:jc w:val="center"/>
        <w:rPr>
          <w:rFonts w:ascii="微软雅黑" w:hAnsi="微软雅黑" w:eastAsia="微软雅黑" w:cstheme="majorEastAsia"/>
          <w:b/>
          <w:sz w:val="32"/>
          <w:szCs w:val="32"/>
        </w:rPr>
      </w:pPr>
      <w:r>
        <w:rPr>
          <w:rFonts w:hint="eastAsia" w:ascii="微软雅黑" w:hAnsi="微软雅黑" w:eastAsia="微软雅黑" w:cstheme="majorEastAsia"/>
          <w:b/>
          <w:sz w:val="32"/>
          <w:szCs w:val="32"/>
        </w:rPr>
        <w:t>湖北省</w:t>
      </w:r>
      <w:r>
        <w:rPr>
          <w:rFonts w:hint="eastAsia" w:ascii="微软雅黑" w:hAnsi="微软雅黑" w:eastAsia="微软雅黑" w:cstheme="majorEastAsia"/>
          <w:b/>
          <w:sz w:val="32"/>
          <w:szCs w:val="32"/>
          <w:lang w:val="en-US" w:eastAsia="zh-CN"/>
        </w:rPr>
        <w:t>放射学术年会2021</w:t>
      </w:r>
    </w:p>
    <w:p>
      <w:pPr>
        <w:adjustRightInd w:val="0"/>
        <w:snapToGrid w:val="0"/>
        <w:jc w:val="center"/>
        <w:rPr>
          <w:rFonts w:ascii="微软雅黑" w:hAnsi="微软雅黑" w:eastAsia="微软雅黑" w:cstheme="majorEastAsia"/>
          <w:b/>
          <w:sz w:val="30"/>
          <w:szCs w:val="30"/>
        </w:rPr>
      </w:pPr>
      <w:r>
        <w:rPr>
          <w:rFonts w:hint="eastAsia" w:ascii="微软雅黑" w:hAnsi="微软雅黑" w:eastAsia="微软雅黑" w:cstheme="majorEastAsia"/>
          <w:b/>
          <w:sz w:val="30"/>
          <w:szCs w:val="30"/>
        </w:rPr>
        <w:t>暨第</w:t>
      </w:r>
      <w:r>
        <w:rPr>
          <w:rFonts w:hint="eastAsia" w:ascii="微软雅黑" w:hAnsi="微软雅黑" w:eastAsia="微软雅黑" w:cstheme="majorEastAsia"/>
          <w:b/>
          <w:sz w:val="30"/>
          <w:szCs w:val="30"/>
          <w:lang w:val="en-US" w:eastAsia="zh-CN"/>
        </w:rPr>
        <w:t>七</w:t>
      </w:r>
      <w:r>
        <w:rPr>
          <w:rFonts w:hint="eastAsia" w:ascii="微软雅黑" w:hAnsi="微软雅黑" w:eastAsia="微软雅黑" w:cstheme="majorEastAsia"/>
          <w:b/>
          <w:sz w:val="30"/>
          <w:szCs w:val="30"/>
        </w:rPr>
        <w:t>届长江影像高峰论坛</w:t>
      </w:r>
    </w:p>
    <w:p>
      <w:pPr>
        <w:adjustRightInd w:val="0"/>
        <w:snapToGrid w:val="0"/>
        <w:jc w:val="center"/>
        <w:rPr>
          <w:rFonts w:ascii="微软雅黑" w:hAnsi="微软雅黑" w:eastAsia="微软雅黑" w:cstheme="majorEastAsia"/>
          <w:b/>
          <w:sz w:val="24"/>
          <w:szCs w:val="24"/>
        </w:rPr>
      </w:pPr>
      <w:r>
        <w:rPr>
          <w:rFonts w:hint="eastAsia" w:ascii="微软雅黑" w:hAnsi="微软雅黑" w:eastAsia="微软雅黑" w:cstheme="majorEastAsia"/>
          <w:b/>
          <w:sz w:val="24"/>
          <w:szCs w:val="24"/>
          <w:lang w:val="en-US" w:eastAsia="zh-CN"/>
        </w:rPr>
        <w:t xml:space="preserve">             </w:t>
      </w:r>
      <w:r>
        <w:rPr>
          <w:rFonts w:hint="eastAsia" w:ascii="微软雅黑" w:hAnsi="微软雅黑" w:eastAsia="微软雅黑" w:cstheme="majorEastAsia"/>
          <w:b/>
          <w:sz w:val="24"/>
          <w:szCs w:val="24"/>
        </w:rPr>
        <w:t>暨《中华放射学杂志》《放射学实践》学术研讨会</w:t>
      </w:r>
    </w:p>
    <w:p>
      <w:pPr>
        <w:adjustRightInd w:val="0"/>
        <w:snapToGrid w:val="0"/>
        <w:rPr>
          <w:rFonts w:ascii="微软雅黑" w:hAnsi="微软雅黑" w:eastAsia="微软雅黑" w:cstheme="majorEastAsia"/>
          <w:b/>
          <w:sz w:val="30"/>
          <w:szCs w:val="30"/>
        </w:rPr>
      </w:pPr>
    </w:p>
    <w:p>
      <w:pPr>
        <w:adjustRightInd w:val="0"/>
        <w:snapToGrid w:val="0"/>
        <w:rPr>
          <w:rFonts w:ascii="微软雅黑" w:hAnsi="微软雅黑" w:eastAsia="微软雅黑" w:cstheme="majorEastAsia"/>
          <w:b/>
          <w:sz w:val="30"/>
          <w:szCs w:val="30"/>
        </w:rPr>
      </w:pPr>
    </w:p>
    <w:p>
      <w:pPr>
        <w:adjustRightInd w:val="0"/>
        <w:snapToGrid w:val="0"/>
        <w:rPr>
          <w:rFonts w:ascii="微软雅黑" w:hAnsi="微软雅黑" w:eastAsia="微软雅黑" w:cstheme="majorEastAsia"/>
          <w:b/>
          <w:sz w:val="30"/>
          <w:szCs w:val="30"/>
        </w:rPr>
      </w:pPr>
      <w:r>
        <w:rPr>
          <w:rFonts w:hint="eastAsia" w:ascii="微软雅黑" w:hAnsi="微软雅黑" w:eastAsia="微软雅黑" w:cstheme="majorEastAsia"/>
          <w:b/>
          <w:sz w:val="30"/>
          <w:szCs w:val="30"/>
          <w:lang w:val="en-US" w:eastAsia="zh-CN"/>
        </w:rPr>
        <w:t xml:space="preserve">                    </w:t>
      </w:r>
      <w:r>
        <w:rPr>
          <w:rFonts w:hint="eastAsia" w:ascii="微软雅黑" w:hAnsi="微软雅黑" w:eastAsia="微软雅黑" w:cstheme="majorEastAsia"/>
          <w:b/>
          <w:sz w:val="30"/>
          <w:szCs w:val="30"/>
        </w:rPr>
        <w:t xml:space="preserve">大会论文汇编 </w:t>
      </w:r>
    </w:p>
    <w:p>
      <w:pPr>
        <w:adjustRightInd w:val="0"/>
        <w:snapToGrid w:val="0"/>
        <w:ind w:firstLine="3452" w:firstLineChars="1150"/>
        <w:rPr>
          <w:rFonts w:ascii="微软雅黑" w:hAnsi="微软雅黑" w:eastAsia="微软雅黑" w:cstheme="majorEastAsia"/>
          <w:b/>
          <w:sz w:val="30"/>
          <w:szCs w:val="30"/>
        </w:rPr>
      </w:pPr>
      <w:r>
        <w:rPr>
          <w:rFonts w:hint="eastAsia" w:ascii="微软雅黑" w:hAnsi="微软雅黑" w:eastAsia="微软雅黑" w:cstheme="majorEastAsia"/>
          <w:b/>
          <w:sz w:val="30"/>
          <w:szCs w:val="30"/>
        </w:rPr>
        <w:t xml:space="preserve">   </w:t>
      </w:r>
    </w:p>
    <w:p>
      <w:pPr>
        <w:adjustRightInd w:val="0"/>
        <w:snapToGrid w:val="0"/>
        <w:rPr>
          <w:rFonts w:hint="default" w:ascii="微软雅黑" w:hAnsi="微软雅黑" w:eastAsia="微软雅黑" w:cstheme="majorEastAsia"/>
          <w:b/>
          <w:sz w:val="30"/>
          <w:szCs w:val="30"/>
          <w:lang w:val="en-US" w:eastAsia="zh-CN"/>
        </w:rPr>
      </w:pPr>
      <w:r>
        <w:rPr>
          <w:rFonts w:hint="eastAsia" w:ascii="微软雅黑" w:hAnsi="微软雅黑" w:eastAsia="微软雅黑" w:cstheme="majorEastAsia"/>
          <w:b/>
          <w:sz w:val="30"/>
          <w:szCs w:val="30"/>
          <w:lang w:val="en-US" w:eastAsia="zh-CN"/>
        </w:rPr>
        <w:t xml:space="preserve">                        2021.9.11</w:t>
      </w:r>
    </w:p>
    <w:p>
      <w:pPr>
        <w:adjustRightInd w:val="0"/>
        <w:snapToGrid w:val="0"/>
        <w:ind w:firstLine="1201" w:firstLineChars="400"/>
        <w:rPr>
          <w:rFonts w:hint="eastAsia" w:ascii="微软雅黑" w:hAnsi="微软雅黑" w:eastAsia="微软雅黑" w:cstheme="majorEastAsia"/>
          <w:b/>
          <w:sz w:val="30"/>
          <w:szCs w:val="30"/>
          <w:lang w:val="en-US" w:eastAsia="zh-CN"/>
        </w:rPr>
      </w:pPr>
      <w:r>
        <w:rPr>
          <w:rFonts w:hint="eastAsia" w:ascii="微软雅黑" w:hAnsi="微软雅黑" w:eastAsia="微软雅黑" w:cstheme="majorEastAsia"/>
          <w:b/>
          <w:sz w:val="30"/>
          <w:szCs w:val="30"/>
        </w:rPr>
        <w:t xml:space="preserve">             </w:t>
      </w:r>
      <w:r>
        <w:rPr>
          <w:rFonts w:hint="eastAsia" w:ascii="微软雅黑" w:hAnsi="微软雅黑" w:eastAsia="微软雅黑" w:cstheme="majorEastAsia"/>
          <w:b/>
          <w:sz w:val="30"/>
          <w:szCs w:val="30"/>
          <w:lang w:val="en-US" w:eastAsia="zh-CN"/>
        </w:rPr>
        <w:t xml:space="preserve">      武汉</w:t>
      </w:r>
    </w:p>
    <w:p/>
    <w:p/>
    <w:p/>
    <w:p>
      <w:pPr>
        <w:jc w:val="left"/>
        <w:rPr>
          <w:rFonts w:ascii="宋体" w:hAnsi="宋体" w:eastAsia="宋体" w:cs="宋体"/>
          <w:kern w:val="0"/>
          <w:sz w:val="21"/>
          <w:szCs w:val="21"/>
        </w:rPr>
      </w:pPr>
      <w:r>
        <w:rPr>
          <w:rFonts w:hint="eastAsia" w:ascii="宋体" w:hAnsi="宋体" w:eastAsia="宋体" w:cs="宋体"/>
          <w:kern w:val="0"/>
          <w:sz w:val="21"/>
          <w:szCs w:val="21"/>
        </w:rPr>
        <w:t>主办：湖北省医学会</w:t>
      </w:r>
    </w:p>
    <w:p>
      <w:pPr>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湖北省医学会放射学分会</w:t>
      </w:r>
    </w:p>
    <w:p>
      <w:pPr>
        <w:jc w:val="left"/>
        <w:rPr>
          <w:rFonts w:hint="eastAsia" w:ascii="宋体" w:hAnsi="宋体" w:eastAsia="宋体" w:cs="宋体"/>
          <w:kern w:val="0"/>
          <w:sz w:val="21"/>
          <w:szCs w:val="21"/>
        </w:rPr>
      </w:pPr>
    </w:p>
    <w:p>
      <w:pPr>
        <w:jc w:val="left"/>
        <w:rPr>
          <w:rFonts w:hint="eastAsia" w:ascii="宋体" w:hAnsi="宋体" w:eastAsia="宋体" w:cs="宋体"/>
          <w:kern w:val="0"/>
          <w:sz w:val="21"/>
          <w:szCs w:val="21"/>
        </w:rPr>
      </w:pPr>
      <w:r>
        <w:rPr>
          <w:rFonts w:hint="eastAsia" w:ascii="宋体" w:hAnsi="宋体" w:eastAsia="宋体" w:cs="宋体"/>
          <w:kern w:val="0"/>
          <w:sz w:val="21"/>
          <w:szCs w:val="21"/>
        </w:rPr>
        <w:t>承办：华中科技大学同济医学院附属同济医院</w:t>
      </w:r>
      <w:r>
        <w:rPr>
          <w:rFonts w:hint="eastAsia" w:ascii="宋体" w:hAnsi="宋体" w:eastAsia="宋体" w:cs="宋体"/>
          <w:kern w:val="0"/>
          <w:sz w:val="21"/>
          <w:szCs w:val="21"/>
          <w:lang w:val="en-US" w:eastAsia="zh-CN"/>
        </w:rPr>
        <w:t>放射科</w:t>
      </w:r>
    </w:p>
    <w:p>
      <w:pPr>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放射学实践</w:t>
      </w:r>
      <w:r>
        <w:rPr>
          <w:rFonts w:hint="eastAsia" w:ascii="宋体" w:hAnsi="宋体" w:eastAsia="宋体" w:cs="宋体"/>
          <w:kern w:val="0"/>
          <w:sz w:val="21"/>
          <w:szCs w:val="21"/>
          <w:lang w:val="en-US" w:eastAsia="zh-CN"/>
        </w:rPr>
        <w:t>杂志</w:t>
      </w:r>
    </w:p>
    <w:p>
      <w:pPr>
        <w:jc w:val="left"/>
        <w:rPr>
          <w:rFonts w:hint="eastAsia" w:ascii="宋体" w:hAnsi="宋体" w:eastAsia="宋体" w:cs="宋体"/>
          <w:kern w:val="0"/>
          <w:sz w:val="21"/>
          <w:szCs w:val="21"/>
        </w:rPr>
      </w:pPr>
    </w:p>
    <w:p>
      <w:pPr>
        <w:jc w:val="left"/>
        <w:rPr>
          <w:rFonts w:ascii="宋体" w:hAnsi="宋体" w:eastAsia="宋体" w:cs="宋体"/>
          <w:kern w:val="0"/>
          <w:sz w:val="21"/>
          <w:szCs w:val="21"/>
        </w:rPr>
      </w:pPr>
      <w:r>
        <w:rPr>
          <w:rFonts w:hint="eastAsia" w:ascii="宋体" w:hAnsi="宋体" w:eastAsia="宋体" w:cs="宋体"/>
          <w:kern w:val="0"/>
          <w:sz w:val="21"/>
          <w:szCs w:val="21"/>
        </w:rPr>
        <w:t>协办：中华放射学杂志</w:t>
      </w:r>
    </w:p>
    <w:p>
      <w:pPr>
        <w:jc w:val="left"/>
        <w:rPr>
          <w:rFonts w:ascii="宋体" w:hAnsi="宋体" w:eastAsia="宋体" w:cs="宋体"/>
          <w:kern w:val="0"/>
          <w:sz w:val="21"/>
          <w:szCs w:val="21"/>
        </w:rPr>
      </w:pP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华中科技大学同济医学院附属协和医院</w:t>
      </w:r>
    </w:p>
    <w:p>
      <w:pPr>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武汉大学人民医院</w:t>
      </w:r>
    </w:p>
    <w:p>
      <w:pPr>
        <w:jc w:val="left"/>
        <w:rPr>
          <w:rFonts w:ascii="宋体" w:hAnsi="宋体" w:eastAsia="宋体" w:cs="宋体"/>
          <w:kern w:val="0"/>
          <w:sz w:val="21"/>
          <w:szCs w:val="21"/>
        </w:rPr>
      </w:pP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武汉大学中南医院</w:t>
      </w:r>
    </w:p>
    <w:p>
      <w:pPr>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华中科技大学同济医学院附属湖北肿瘤医院</w:t>
      </w:r>
    </w:p>
    <w:p>
      <w:pPr>
        <w:jc w:val="left"/>
        <w:rPr>
          <w:rFonts w:hint="default" w:eastAsia="宋体"/>
          <w:lang w:val="en-US" w:eastAsia="zh-CN"/>
        </w:rPr>
      </w:pP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华中科技大学同济医学院附属武汉</w:t>
      </w:r>
      <w:r>
        <w:rPr>
          <w:rFonts w:hint="eastAsia" w:ascii="宋体" w:hAnsi="宋体" w:eastAsia="宋体" w:cs="宋体"/>
          <w:kern w:val="0"/>
          <w:sz w:val="21"/>
          <w:szCs w:val="21"/>
          <w:lang w:val="en-US" w:eastAsia="zh-CN"/>
        </w:rPr>
        <w:t>儿童医院</w:t>
      </w:r>
    </w:p>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both"/>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pStyle w:val="5"/>
        <w:bidi w:val="0"/>
        <w:rPr>
          <w:rFonts w:hint="eastAsia"/>
        </w:rPr>
      </w:pPr>
      <w:r>
        <w:rPr>
          <w:rFonts w:hint="eastAsia"/>
        </w:rPr>
        <w:t>磁共振扩散加权成像定量评估克罗恩病活动性的临床应用价值</w:t>
      </w:r>
    </w:p>
    <w:p>
      <w:pPr>
        <w:jc w:val="center"/>
        <w:rPr>
          <w:rFonts w:hint="eastAsia" w:ascii="宋体" w:hAnsi="宋体" w:eastAsia="宋体" w:cs="宋体"/>
          <w:sz w:val="24"/>
          <w:szCs w:val="24"/>
        </w:rPr>
      </w:pPr>
      <w:r>
        <w:rPr>
          <w:rFonts w:hint="eastAsia" w:ascii="宋体" w:hAnsi="宋体" w:eastAsia="宋体" w:cs="宋体"/>
          <w:sz w:val="24"/>
          <w:szCs w:val="24"/>
        </w:rPr>
        <w:t>程静云</w:t>
      </w:r>
      <w:r>
        <w:rPr>
          <w:rFonts w:hint="eastAsia" w:ascii="宋体" w:hAnsi="宋体" w:eastAsia="宋体" w:cs="宋体"/>
          <w:sz w:val="24"/>
          <w:szCs w:val="24"/>
          <w:vertAlign w:val="superscript"/>
        </w:rPr>
        <w:t>1</w:t>
      </w:r>
      <w:r>
        <w:rPr>
          <w:rFonts w:hint="eastAsia" w:ascii="宋体" w:hAnsi="宋体" w:eastAsia="宋体" w:cs="宋体"/>
          <w:sz w:val="24"/>
          <w:szCs w:val="24"/>
        </w:rPr>
        <w:t xml:space="preserve"> 查云飞</w:t>
      </w:r>
      <w:r>
        <w:rPr>
          <w:rFonts w:hint="eastAsia" w:ascii="宋体" w:hAnsi="宋体" w:eastAsia="宋体" w:cs="宋体"/>
          <w:sz w:val="24"/>
          <w:szCs w:val="24"/>
          <w:vertAlign w:val="superscript"/>
        </w:rPr>
        <w:t>1*</w:t>
      </w:r>
      <w:r>
        <w:rPr>
          <w:rFonts w:hint="eastAsia" w:ascii="宋体" w:hAnsi="宋体" w:eastAsia="宋体" w:cs="宋体"/>
          <w:sz w:val="24"/>
          <w:szCs w:val="24"/>
        </w:rPr>
        <w:t xml:space="preserve"> </w:t>
      </w:r>
    </w:p>
    <w:p>
      <w:pPr>
        <w:jc w:val="center"/>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r>
        <w:rPr>
          <w:rFonts w:hint="eastAsia" w:ascii="宋体" w:hAnsi="宋体" w:eastAsia="宋体" w:cs="宋体"/>
          <w:b/>
          <w:bCs/>
          <w:sz w:val="24"/>
          <w:szCs w:val="24"/>
        </w:rPr>
        <w:t>目的：</w:t>
      </w:r>
      <w:r>
        <w:rPr>
          <w:rFonts w:hint="eastAsia" w:ascii="宋体" w:hAnsi="宋体" w:eastAsia="宋体" w:cs="宋体"/>
          <w:sz w:val="24"/>
          <w:szCs w:val="24"/>
        </w:rPr>
        <w:t>探讨磁共振（MR）扩散加权成像（DWI）定量评估肠道克罗恩病（CD）病变的活动性的价值</w:t>
      </w:r>
    </w:p>
    <w:p>
      <w:pPr>
        <w:widowControl/>
        <w:spacing w:line="360" w:lineRule="auto"/>
        <w:jc w:val="left"/>
        <w:rPr>
          <w:rFonts w:hint="eastAsia" w:ascii="宋体" w:hAnsi="宋体" w:eastAsia="宋体" w:cs="宋体"/>
          <w:sz w:val="24"/>
          <w:szCs w:val="24"/>
        </w:rPr>
      </w:pPr>
      <w:r>
        <w:rPr>
          <w:rFonts w:hint="eastAsia" w:ascii="宋体" w:hAnsi="宋体" w:eastAsia="宋体" w:cs="宋体"/>
          <w:b/>
          <w:bCs/>
          <w:sz w:val="24"/>
          <w:szCs w:val="24"/>
        </w:rPr>
        <w:t>方法：</w:t>
      </w:r>
      <w:r>
        <w:rPr>
          <w:rFonts w:hint="eastAsia" w:ascii="宋体" w:hAnsi="宋体" w:eastAsia="宋体" w:cs="宋体"/>
          <w:sz w:val="24"/>
          <w:szCs w:val="24"/>
        </w:rPr>
        <w:t>回顾性分析了51例确诊为CD的患者，患者均在2周时间内进行磁共振小肠成像（MRE）、DWI及小肠镜检查。根据CD简化内镜活动性评分（SES-CD）将病变肠段分为缓解组（0-2）、轻微活动组（3-6）及中重度活动组（&gt;6）。观察MRE及DWI表现，计算磁共振活动指数（MaRIA）及测量ADC值。采用Kruskal-Wallis秩和检验比较不同活动组间MaRIA及ADC值的差异性，采用ROC曲线分析MaRIA及ADC值区分不同活动期病变的诊断效能，MaRIA及ADC值与SES-CD的相关性采用 Spearman相关分析。</w:t>
      </w:r>
    </w:p>
    <w:p>
      <w:pPr>
        <w:widowControl/>
        <w:spacing w:line="360" w:lineRule="auto"/>
        <w:jc w:val="left"/>
        <w:rPr>
          <w:rFonts w:hint="eastAsia" w:ascii="宋体" w:hAnsi="宋体" w:eastAsia="宋体" w:cs="宋体"/>
          <w:sz w:val="24"/>
          <w:szCs w:val="24"/>
        </w:rPr>
      </w:pPr>
      <w:r>
        <w:rPr>
          <w:rFonts w:hint="eastAsia" w:ascii="宋体" w:hAnsi="宋体" w:eastAsia="宋体" w:cs="宋体"/>
          <w:b/>
          <w:bCs/>
          <w:sz w:val="24"/>
          <w:szCs w:val="24"/>
        </w:rPr>
        <w:t>结果：</w:t>
      </w:r>
      <w:r>
        <w:rPr>
          <w:rFonts w:hint="eastAsia" w:ascii="宋体" w:hAnsi="宋体" w:eastAsia="宋体" w:cs="宋体"/>
          <w:sz w:val="24"/>
          <w:szCs w:val="24"/>
        </w:rPr>
        <w:t>共127个肠段纳入研究，缓解组15段，轻微活动组45段，中重度活动组67段，SES-CD评分为1.0-11.0。不同组间MaRIA及ADC值均存在显著差别（</w:t>
      </w:r>
      <w:r>
        <w:rPr>
          <w:rFonts w:hint="eastAsia" w:ascii="宋体" w:hAnsi="宋体" w:eastAsia="宋体" w:cs="宋体"/>
          <w:i/>
          <w:iCs/>
          <w:sz w:val="24"/>
          <w:szCs w:val="24"/>
        </w:rPr>
        <w:t>P</w:t>
      </w:r>
      <w:r>
        <w:rPr>
          <w:rFonts w:hint="eastAsia" w:ascii="宋体" w:hAnsi="宋体" w:eastAsia="宋体" w:cs="宋体"/>
          <w:sz w:val="24"/>
          <w:szCs w:val="24"/>
        </w:rPr>
        <w:t xml:space="preserve"> 均小于0.01）。MaRIA及ADC值与SES-CD的相关性分别为0.793（</w:t>
      </w:r>
      <w:r>
        <w:rPr>
          <w:rFonts w:hint="eastAsia" w:ascii="宋体" w:hAnsi="宋体" w:eastAsia="宋体" w:cs="宋体"/>
          <w:i/>
          <w:iCs/>
          <w:sz w:val="24"/>
          <w:szCs w:val="24"/>
        </w:rPr>
        <w:t>P</w:t>
      </w:r>
      <w:r>
        <w:rPr>
          <w:rFonts w:hint="eastAsia" w:ascii="宋体" w:hAnsi="宋体" w:eastAsia="宋体" w:cs="宋体"/>
          <w:sz w:val="24"/>
          <w:szCs w:val="24"/>
        </w:rPr>
        <w:t xml:space="preserve"> &lt; 0.01）和-0.742（</w:t>
      </w:r>
      <w:r>
        <w:rPr>
          <w:rFonts w:hint="eastAsia" w:ascii="宋体" w:hAnsi="宋体" w:eastAsia="宋体" w:cs="宋体"/>
          <w:i/>
          <w:iCs/>
          <w:sz w:val="24"/>
          <w:szCs w:val="24"/>
        </w:rPr>
        <w:t>P</w:t>
      </w:r>
      <w:r>
        <w:rPr>
          <w:rFonts w:hint="eastAsia" w:ascii="宋体" w:hAnsi="宋体" w:eastAsia="宋体" w:cs="宋体"/>
          <w:sz w:val="24"/>
          <w:szCs w:val="24"/>
        </w:rPr>
        <w:t xml:space="preserve"> &lt; 0.01）。ROC曲线分析发现，</w:t>
      </w:r>
      <w:bookmarkStart w:id="0" w:name="_Hlk76977249"/>
      <w:r>
        <w:rPr>
          <w:rFonts w:hint="eastAsia" w:ascii="宋体" w:hAnsi="宋体" w:eastAsia="宋体" w:cs="宋体"/>
          <w:sz w:val="24"/>
          <w:szCs w:val="24"/>
        </w:rPr>
        <w:t>当MaRIA为9.1，ADC值为-1.585×10</w:t>
      </w:r>
      <w:r>
        <w:rPr>
          <w:rFonts w:hint="eastAsia" w:ascii="宋体" w:hAnsi="宋体" w:eastAsia="宋体" w:cs="宋体"/>
          <w:sz w:val="24"/>
          <w:szCs w:val="24"/>
          <w:vertAlign w:val="superscript"/>
        </w:rPr>
        <w:t xml:space="preserve">-3 </w:t>
      </w:r>
      <w:r>
        <w:rPr>
          <w:rFonts w:hint="eastAsia" w:ascii="宋体" w:hAnsi="宋体" w:eastAsia="宋体" w:cs="宋体"/>
          <w:sz w:val="24"/>
          <w:szCs w:val="24"/>
        </w:rPr>
        <w:t>mm</w:t>
      </w:r>
      <w:r>
        <w:rPr>
          <w:rFonts w:hint="eastAsia" w:ascii="宋体" w:hAnsi="宋体" w:eastAsia="宋体" w:cs="宋体"/>
          <w:sz w:val="24"/>
          <w:szCs w:val="24"/>
          <w:vertAlign w:val="superscript"/>
        </w:rPr>
        <w:t>2</w:t>
      </w:r>
      <w:r>
        <w:rPr>
          <w:rFonts w:hint="eastAsia" w:ascii="宋体" w:hAnsi="宋体" w:eastAsia="宋体" w:cs="宋体"/>
          <w:sz w:val="24"/>
          <w:szCs w:val="24"/>
        </w:rPr>
        <w:t>/s时，区分缓解组与活动组的曲线下面积最大分别为0.962</w:t>
      </w:r>
      <w:bookmarkStart w:id="1" w:name="_Hlk76977228"/>
      <w:r>
        <w:rPr>
          <w:rFonts w:hint="eastAsia" w:ascii="宋体" w:hAnsi="宋体" w:eastAsia="宋体" w:cs="宋体"/>
          <w:sz w:val="24"/>
          <w:szCs w:val="24"/>
        </w:rPr>
        <w:t>（</w:t>
      </w:r>
      <w:r>
        <w:rPr>
          <w:rFonts w:hint="eastAsia" w:ascii="宋体" w:hAnsi="宋体" w:eastAsia="宋体" w:cs="宋体"/>
          <w:i/>
          <w:iCs/>
          <w:sz w:val="24"/>
          <w:szCs w:val="24"/>
        </w:rPr>
        <w:t>P</w:t>
      </w:r>
      <w:r>
        <w:rPr>
          <w:rFonts w:hint="eastAsia" w:ascii="宋体" w:hAnsi="宋体" w:eastAsia="宋体" w:cs="宋体"/>
          <w:sz w:val="24"/>
          <w:szCs w:val="24"/>
        </w:rPr>
        <w:t xml:space="preserve"> &lt; 0.01）及0.957（</w:t>
      </w:r>
      <w:r>
        <w:rPr>
          <w:rFonts w:hint="eastAsia" w:ascii="宋体" w:hAnsi="宋体" w:eastAsia="宋体" w:cs="宋体"/>
          <w:i/>
          <w:iCs/>
          <w:sz w:val="24"/>
          <w:szCs w:val="24"/>
        </w:rPr>
        <w:t>P</w:t>
      </w:r>
      <w:r>
        <w:rPr>
          <w:rFonts w:hint="eastAsia" w:ascii="宋体" w:hAnsi="宋体" w:eastAsia="宋体" w:cs="宋体"/>
          <w:sz w:val="24"/>
          <w:szCs w:val="24"/>
        </w:rPr>
        <w:t xml:space="preserve"> &lt; 0.01）</w:t>
      </w:r>
      <w:bookmarkEnd w:id="0"/>
      <w:bookmarkEnd w:id="1"/>
      <w:r>
        <w:rPr>
          <w:rFonts w:hint="eastAsia" w:ascii="宋体" w:hAnsi="宋体" w:eastAsia="宋体" w:cs="宋体"/>
          <w:sz w:val="24"/>
          <w:szCs w:val="24"/>
        </w:rPr>
        <w:t>;当MaRIA为11.1，ADC值为-1.345×10</w:t>
      </w:r>
      <w:r>
        <w:rPr>
          <w:rFonts w:hint="eastAsia" w:ascii="宋体" w:hAnsi="宋体" w:eastAsia="宋体" w:cs="宋体"/>
          <w:sz w:val="24"/>
          <w:szCs w:val="24"/>
          <w:vertAlign w:val="superscript"/>
        </w:rPr>
        <w:t>-3</w:t>
      </w:r>
      <w:r>
        <w:rPr>
          <w:rFonts w:hint="eastAsia" w:ascii="宋体" w:hAnsi="宋体" w:eastAsia="宋体" w:cs="宋体"/>
          <w:sz w:val="24"/>
          <w:szCs w:val="24"/>
        </w:rPr>
        <w:t>mm</w:t>
      </w:r>
      <w:r>
        <w:rPr>
          <w:rFonts w:hint="eastAsia" w:ascii="宋体" w:hAnsi="宋体" w:eastAsia="宋体" w:cs="宋体"/>
          <w:sz w:val="24"/>
          <w:szCs w:val="24"/>
          <w:vertAlign w:val="superscript"/>
        </w:rPr>
        <w:t>2</w:t>
      </w:r>
      <w:r>
        <w:rPr>
          <w:rFonts w:hint="eastAsia" w:ascii="宋体" w:hAnsi="宋体" w:eastAsia="宋体" w:cs="宋体"/>
          <w:sz w:val="24"/>
          <w:szCs w:val="24"/>
        </w:rPr>
        <w:t>/s时，区分缓解-轻微活动组与中重活动组的曲线下面积最大分别为0.942（</w:t>
      </w:r>
      <w:r>
        <w:rPr>
          <w:rFonts w:hint="eastAsia" w:ascii="宋体" w:hAnsi="宋体" w:eastAsia="宋体" w:cs="宋体"/>
          <w:i/>
          <w:iCs/>
          <w:sz w:val="24"/>
          <w:szCs w:val="24"/>
        </w:rPr>
        <w:t>P</w:t>
      </w:r>
      <w:r>
        <w:rPr>
          <w:rFonts w:hint="eastAsia" w:ascii="宋体" w:hAnsi="宋体" w:eastAsia="宋体" w:cs="宋体"/>
          <w:sz w:val="24"/>
          <w:szCs w:val="24"/>
        </w:rPr>
        <w:t xml:space="preserve"> &lt; 0.01）</w:t>
      </w:r>
      <w:bookmarkStart w:id="2" w:name="_Hlk76977809"/>
      <w:r>
        <w:rPr>
          <w:rFonts w:hint="eastAsia" w:ascii="宋体" w:hAnsi="宋体" w:eastAsia="宋体" w:cs="宋体"/>
          <w:sz w:val="24"/>
          <w:szCs w:val="24"/>
        </w:rPr>
        <w:t>及0.920（</w:t>
      </w:r>
      <w:r>
        <w:rPr>
          <w:rFonts w:hint="eastAsia" w:ascii="宋体" w:hAnsi="宋体" w:eastAsia="宋体" w:cs="宋体"/>
          <w:i/>
          <w:iCs/>
          <w:sz w:val="24"/>
          <w:szCs w:val="24"/>
        </w:rPr>
        <w:t>P</w:t>
      </w:r>
      <w:r>
        <w:rPr>
          <w:rFonts w:hint="eastAsia" w:ascii="宋体" w:hAnsi="宋体" w:eastAsia="宋体" w:cs="宋体"/>
          <w:sz w:val="24"/>
          <w:szCs w:val="24"/>
        </w:rPr>
        <w:t xml:space="preserve"> &lt; 0.01）</w:t>
      </w:r>
      <w:bookmarkEnd w:id="2"/>
      <w:r>
        <w:rPr>
          <w:rFonts w:hint="eastAsia" w:ascii="宋体" w:hAnsi="宋体" w:eastAsia="宋体" w:cs="宋体"/>
          <w:sz w:val="24"/>
          <w:szCs w:val="24"/>
        </w:rPr>
        <w:t>。</w:t>
      </w:r>
    </w:p>
    <w:p>
      <w:pPr>
        <w:widowControl/>
        <w:spacing w:line="360" w:lineRule="auto"/>
        <w:jc w:val="left"/>
        <w:rPr>
          <w:rFonts w:hint="eastAsia" w:ascii="宋体" w:hAnsi="宋体" w:eastAsia="宋体" w:cs="宋体"/>
          <w:sz w:val="24"/>
          <w:szCs w:val="24"/>
        </w:rPr>
      </w:pPr>
      <w:r>
        <w:rPr>
          <w:rFonts w:hint="eastAsia" w:ascii="宋体" w:hAnsi="宋体" w:eastAsia="宋体" w:cs="宋体"/>
          <w:b/>
          <w:bCs/>
          <w:sz w:val="24"/>
          <w:szCs w:val="24"/>
        </w:rPr>
        <w:t>结论：</w:t>
      </w:r>
      <w:r>
        <w:rPr>
          <w:rFonts w:hint="eastAsia" w:ascii="宋体" w:hAnsi="宋体" w:eastAsia="宋体" w:cs="宋体"/>
          <w:sz w:val="24"/>
          <w:szCs w:val="24"/>
        </w:rPr>
        <w:t>DWI可定量准确区分CD不同活动期病灶。</w:t>
      </w:r>
    </w:p>
    <w:p>
      <w:pPr>
        <w:widowControl/>
        <w:spacing w:line="360" w:lineRule="auto"/>
        <w:jc w:val="left"/>
        <w:rPr>
          <w:rFonts w:hint="eastAsia" w:ascii="宋体" w:hAnsi="宋体" w:eastAsia="宋体" w:cs="宋体"/>
          <w:sz w:val="24"/>
          <w:szCs w:val="24"/>
        </w:rPr>
      </w:pPr>
      <w:r>
        <w:rPr>
          <w:rFonts w:hint="eastAsia" w:ascii="宋体" w:hAnsi="宋体" w:eastAsia="宋体" w:cs="宋体"/>
          <w:sz w:val="24"/>
          <w:szCs w:val="24"/>
        </w:rPr>
        <w:t>【关键词】克罗恩病； 磁共振成像；扩散加权成像；活动性评分</w:t>
      </w:r>
    </w:p>
    <w:p>
      <w:pPr>
        <w:jc w:val="left"/>
        <w:rPr>
          <w:rFonts w:hint="eastAsia" w:ascii="宋体" w:hAnsi="宋体" w:eastAsia="宋体" w:cs="宋体"/>
          <w:sz w:val="24"/>
          <w:szCs w:val="24"/>
        </w:rPr>
      </w:pPr>
      <w:r>
        <w:rPr>
          <w:rFonts w:hint="eastAsia" w:ascii="宋体" w:hAnsi="宋体" w:eastAsia="宋体" w:cs="宋体"/>
          <w:sz w:val="24"/>
          <w:szCs w:val="24"/>
        </w:rPr>
        <w:t>通讯地址：湖北省武汉市武昌区解放路238号</w:t>
      </w:r>
    </w:p>
    <w:p>
      <w:pPr>
        <w:jc w:val="left"/>
        <w:rPr>
          <w:rFonts w:hint="eastAsia" w:ascii="宋体" w:hAnsi="宋体" w:eastAsia="宋体" w:cs="宋体"/>
          <w:sz w:val="24"/>
          <w:szCs w:val="24"/>
        </w:rPr>
      </w:pPr>
      <w:r>
        <w:rPr>
          <w:rFonts w:hint="eastAsia" w:ascii="宋体" w:hAnsi="宋体" w:eastAsia="宋体" w:cs="宋体"/>
          <w:sz w:val="24"/>
          <w:szCs w:val="24"/>
        </w:rPr>
        <w:t>邮编：430060</w:t>
      </w:r>
    </w:p>
    <w:p>
      <w:pPr>
        <w:jc w:val="left"/>
        <w:rPr>
          <w:rFonts w:hint="eastAsia" w:ascii="宋体" w:hAnsi="宋体" w:eastAsia="宋体" w:cs="宋体"/>
          <w:sz w:val="24"/>
          <w:szCs w:val="24"/>
        </w:rPr>
      </w:pPr>
      <w:r>
        <w:rPr>
          <w:rFonts w:hint="eastAsia" w:ascii="宋体" w:hAnsi="宋体" w:eastAsia="宋体" w:cs="宋体"/>
          <w:sz w:val="24"/>
          <w:szCs w:val="24"/>
        </w:rPr>
        <w:t>电话：18771078343</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ajorEastAsia" w:hAnsiTheme="majorEastAsia" w:eastAsiaTheme="majorEastAsia" w:cstheme="majorEastAsia"/>
          <w:b/>
          <w:sz w:val="24"/>
          <w:szCs w:val="24"/>
        </w:rPr>
      </w:pPr>
      <w:bookmarkStart w:id="3" w:name="OLE_LINK70"/>
      <w:bookmarkStart w:id="4" w:name="OLE_LINK71"/>
      <w:bookmarkStart w:id="5" w:name="OLE_LINK75"/>
      <w:bookmarkStart w:id="6" w:name="OLE_LINK76"/>
      <w:bookmarkStart w:id="7" w:name="OLE_LINK3"/>
      <w:bookmarkStart w:id="8" w:name="OLE_LINK37"/>
      <w:bookmarkStart w:id="9" w:name="OLE_LINK8"/>
      <w:r>
        <w:rPr>
          <w:rFonts w:hint="eastAsia" w:asciiTheme="majorEastAsia" w:hAnsiTheme="majorEastAsia" w:eastAsiaTheme="majorEastAsia" w:cstheme="majorEastAsia"/>
          <w:b/>
          <w:sz w:val="24"/>
          <w:szCs w:val="24"/>
        </w:rPr>
        <w:t xml:space="preserve">Validation of SE-EPI-based T2 mapping for the characterization of prostate cancer: </w:t>
      </w:r>
      <w:bookmarkEnd w:id="3"/>
      <w:bookmarkEnd w:id="4"/>
      <w:bookmarkEnd w:id="5"/>
      <w:bookmarkEnd w:id="6"/>
      <w:r>
        <w:rPr>
          <w:rFonts w:hint="eastAsia" w:asciiTheme="majorEastAsia" w:hAnsiTheme="majorEastAsia" w:eastAsiaTheme="majorEastAsia" w:cstheme="majorEastAsia"/>
          <w:b/>
          <w:sz w:val="24"/>
          <w:szCs w:val="24"/>
        </w:rPr>
        <w:t>a new method compared with the traditional CPMG method</w:t>
      </w:r>
    </w:p>
    <w:bookmarkEnd w:id="7"/>
    <w:bookmarkEnd w:id="8"/>
    <w:bookmarkEnd w:id="9"/>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w:t>
      </w:r>
      <w:r>
        <w:rPr>
          <w:rFonts w:hint="default" w:ascii="Times New Roman" w:hAnsi="Times New Roman" w:eastAsia="宋体" w:cs="Times New Roman"/>
          <w:b/>
          <w:sz w:val="24"/>
          <w:szCs w:val="24"/>
        </w:rPr>
        <w:t>Abstract</w:t>
      </w:r>
      <w:r>
        <w:rPr>
          <w:rFonts w:hint="eastAsia" w:ascii="Times New Roman" w:hAnsi="Times New Roman" w:eastAsia="宋体" w:cs="Times New Roman"/>
          <w:b/>
          <w:sz w:val="24"/>
          <w:szCs w:val="24"/>
          <w:lang w:val="en-US" w:eastAsia="zh-CN"/>
        </w:rPr>
        <w:t>]</w:t>
      </w:r>
      <w:bookmarkStart w:id="10" w:name="OLE_LINK34"/>
      <w:bookmarkStart w:id="11" w:name="OLE_LINK41"/>
      <w:bookmarkStart w:id="12" w:name="OLE_LINK58"/>
      <w:r>
        <w:rPr>
          <w:rFonts w:hint="default" w:ascii="Times New Roman" w:hAnsi="Times New Roman" w:eastAsia="宋体" w:cs="Times New Roman"/>
          <w:b/>
          <w:sz w:val="24"/>
          <w:szCs w:val="24"/>
        </w:rPr>
        <w:t xml:space="preserve">Purpose: </w:t>
      </w:r>
      <w:r>
        <w:rPr>
          <w:rFonts w:hint="default" w:ascii="Times New Roman" w:hAnsi="Times New Roman" w:eastAsia="宋体" w:cs="Times New Roman"/>
          <w:sz w:val="24"/>
          <w:szCs w:val="24"/>
        </w:rPr>
        <w:t xml:space="preserve">Traditional T2 mapping based on the Carr-Purcell-Meiboom-Gill (CPMG) method is not widely used due to its long acquisition time, usually takes 5-10 minutes. Thus, in this prospectively research, we study a new quantitative analysis that combine T2 values at different b-values and apparent diffusion coefficient (ADC) values at different echo times (TEs), which named as fast </w:t>
      </w:r>
      <w:bookmarkStart w:id="13" w:name="OLE_LINK2"/>
      <w:bookmarkStart w:id="14" w:name="OLE_LINK1"/>
      <w:r>
        <w:rPr>
          <w:rFonts w:hint="default" w:ascii="Times New Roman" w:hAnsi="Times New Roman" w:eastAsia="宋体" w:cs="Times New Roman"/>
          <w:sz w:val="24"/>
          <w:szCs w:val="24"/>
        </w:rPr>
        <w:t>SE-EPI-based T2</w:t>
      </w:r>
      <w:bookmarkEnd w:id="13"/>
      <w:bookmarkEnd w:id="14"/>
      <w:r>
        <w:rPr>
          <w:rFonts w:hint="default" w:ascii="Times New Roman" w:hAnsi="Times New Roman" w:eastAsia="宋体" w:cs="Times New Roman"/>
          <w:sz w:val="24"/>
          <w:szCs w:val="24"/>
        </w:rPr>
        <w:t xml:space="preserve"> mapping. And we aim to compare the results of SE-EPI-based T2 mapping with those of the conventional CPMG method and to investigate the potential validity of SE-EPI-T2 mapping for the characterization of prostate cancer (PCa).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 xml:space="preserve">Methods: </w:t>
      </w:r>
      <w:r>
        <w:rPr>
          <w:rFonts w:hint="default" w:ascii="Times New Roman" w:hAnsi="Times New Roman" w:eastAsia="宋体" w:cs="Times New Roman"/>
          <w:sz w:val="24"/>
          <w:szCs w:val="24"/>
        </w:rPr>
        <w:t xml:space="preserve">Our retrospective study included 42 PCa patients and 42 noncancer patients who underwent 3.0T MRI with b-values ranging from 0 to 2000 s/mm² and echo times (TEs) ranging from 32 to 100 ms before biopsies. The Mann-Whitney U test and two-sample t-tests were used to analyze differences between the cancerous and noncancerous groups. The correlations between CPMG-T2 values and SE-EPI-T2 values at different b-values were determined by Spearman’s rho analysis or Pearson analysis. Bland-Altman analysis was used to compare the agreement between the two methods.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 xml:space="preserve">Results: </w:t>
      </w:r>
      <w:r>
        <w:rPr>
          <w:rFonts w:hint="default" w:ascii="Times New Roman" w:hAnsi="Times New Roman" w:eastAsia="宋体" w:cs="Times New Roman"/>
          <w:sz w:val="24"/>
          <w:szCs w:val="24"/>
        </w:rPr>
        <w:t>Substantial agreement regarding the measurements was observed between the two methods. The average correlation between the CPMG-T2 values and SE-EPI-T2 values was moderate and positive, and the best correlations were found at b=200 s/mm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 xml:space="preserve"> in the noncancer group (r=0.717, </w:t>
      </w:r>
      <w:r>
        <w:rPr>
          <w:rFonts w:hint="default" w:ascii="Times New Roman" w:hAnsi="Times New Roman" w:eastAsia="宋体" w:cs="Times New Roman"/>
          <w:i/>
          <w:sz w:val="24"/>
          <w:szCs w:val="24"/>
        </w:rPr>
        <w:t xml:space="preserve">P </w:t>
      </w:r>
      <w:r>
        <w:rPr>
          <w:rFonts w:hint="default" w:ascii="Times New Roman" w:hAnsi="Times New Roman" w:eastAsia="宋体" w:cs="Times New Roman"/>
          <w:sz w:val="24"/>
          <w:szCs w:val="24"/>
        </w:rPr>
        <w:t>= 0.000) and at b=100 s/mm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 xml:space="preserve"> in the cancer group (r=0.541, </w:t>
      </w:r>
      <w:r>
        <w:rPr>
          <w:rFonts w:hint="default" w:ascii="Times New Roman" w:hAnsi="Times New Roman" w:eastAsia="宋体" w:cs="Times New Roman"/>
          <w:i/>
          <w:sz w:val="24"/>
          <w:szCs w:val="24"/>
        </w:rPr>
        <w:t xml:space="preserve">P </w:t>
      </w:r>
      <w:r>
        <w:rPr>
          <w:rFonts w:hint="default" w:ascii="Times New Roman" w:hAnsi="Times New Roman" w:eastAsia="宋体" w:cs="Times New Roman"/>
          <w:sz w:val="24"/>
          <w:szCs w:val="24"/>
        </w:rPr>
        <w:t xml:space="preserve">= 0.000). In addition, statistically significant differences were found between the noncancer and cancer groups in </w:t>
      </w:r>
      <w:bookmarkStart w:id="15" w:name="OLE_LINK43"/>
      <w:bookmarkStart w:id="16" w:name="OLE_LINK44"/>
      <w:r>
        <w:rPr>
          <w:rFonts w:hint="default" w:ascii="Times New Roman" w:hAnsi="Times New Roman" w:eastAsia="宋体" w:cs="Times New Roman"/>
          <w:sz w:val="24"/>
          <w:szCs w:val="24"/>
        </w:rPr>
        <w:t xml:space="preserve">T2 values </w:t>
      </w:r>
      <w:bookmarkEnd w:id="15"/>
      <w:bookmarkEnd w:id="16"/>
      <w:r>
        <w:rPr>
          <w:rFonts w:hint="default" w:ascii="Times New Roman" w:hAnsi="Times New Roman" w:eastAsia="宋体" w:cs="Times New Roman"/>
          <w:sz w:val="24"/>
          <w:szCs w:val="24"/>
        </w:rPr>
        <w:t>and ADC values (diff TEs) (</w:t>
      </w:r>
      <w:r>
        <w:rPr>
          <w:rFonts w:hint="default" w:ascii="Times New Roman" w:hAnsi="Times New Roman" w:eastAsia="宋体" w:cs="Times New Roman"/>
          <w:i/>
          <w:sz w:val="24"/>
          <w:szCs w:val="24"/>
        </w:rPr>
        <w:t xml:space="preserve">P </w:t>
      </w:r>
      <w:r>
        <w:rPr>
          <w:rFonts w:hint="default" w:ascii="Times New Roman" w:hAnsi="Times New Roman" w:eastAsia="宋体" w:cs="Times New Roman"/>
          <w:sz w:val="24"/>
          <w:szCs w:val="24"/>
        </w:rPr>
        <w:t>= 0.000).</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Conclusions:</w:t>
      </w:r>
      <w:r>
        <w:rPr>
          <w:rFonts w:hint="default" w:ascii="Times New Roman" w:hAnsi="Times New Roman" w:eastAsia="宋体" w:cs="Times New Roman"/>
          <w:sz w:val="24"/>
          <w:szCs w:val="24"/>
        </w:rPr>
        <w:t xml:space="preserve"> </w:t>
      </w:r>
      <w:bookmarkStart w:id="17" w:name="OLE_LINK33"/>
      <w:bookmarkStart w:id="18" w:name="OLE_LINK4"/>
      <w:r>
        <w:rPr>
          <w:rFonts w:hint="default" w:ascii="Times New Roman" w:hAnsi="Times New Roman" w:eastAsia="宋体" w:cs="Times New Roman"/>
          <w:sz w:val="24"/>
          <w:szCs w:val="24"/>
        </w:rPr>
        <w:t xml:space="preserve">Substantial agreement in the measurements was found between the SE-EPI method and CPMG method. SE-EPI-based T2 mapping has potential clinical value for the prostate and </w:t>
      </w:r>
      <w:bookmarkStart w:id="19" w:name="_Hlk520105926"/>
      <w:r>
        <w:rPr>
          <w:rFonts w:hint="default" w:ascii="Times New Roman" w:hAnsi="Times New Roman" w:eastAsia="宋体" w:cs="Times New Roman"/>
          <w:sz w:val="24"/>
          <w:szCs w:val="24"/>
        </w:rPr>
        <w:t>can be considered an alternative to the traditional CPMG-T2 mapping</w:t>
      </w:r>
      <w:bookmarkEnd w:id="10"/>
      <w:bookmarkEnd w:id="11"/>
      <w:r>
        <w:rPr>
          <w:rFonts w:hint="default" w:ascii="Times New Roman" w:hAnsi="Times New Roman" w:eastAsia="宋体" w:cs="Times New Roman"/>
          <w:sz w:val="24"/>
          <w:szCs w:val="24"/>
        </w:rPr>
        <w:t xml:space="preserve"> method.</w:t>
      </w:r>
      <w:bookmarkEnd w:id="12"/>
      <w:bookmarkEnd w:id="17"/>
      <w:bookmarkEnd w:id="18"/>
      <w:bookmarkEnd w:id="19"/>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sz w:val="24"/>
          <w:szCs w:val="24"/>
        </w:rPr>
      </w:pPr>
      <w:r>
        <w:rPr>
          <w:rFonts w:hint="default" w:ascii="Times New Roman" w:hAnsi="Times New Roman" w:eastAsia="宋体" w:cs="Times New Roman"/>
          <w:b/>
          <w:sz w:val="24"/>
          <w:szCs w:val="24"/>
        </w:rPr>
        <w:t>Clinical application:</w:t>
      </w:r>
      <w:r>
        <w:rPr>
          <w:rFonts w:hint="default" w:ascii="Times New Roman" w:hAnsi="Times New Roman" w:eastAsia="宋体" w:cs="Times New Roman"/>
          <w:sz w:val="24"/>
          <w:szCs w:val="24"/>
        </w:rPr>
        <w:t xml:space="preserve"> Fast SE-EPI-method-based T2 mapping has potential clinical value for the PCa, which could also be used in moving organs or in examinations with limited scan time, where the CMPG method is not available.</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0" distR="0">
            <wp:extent cx="5229225" cy="3136900"/>
            <wp:effectExtent l="0" t="0" r="9525" b="6350"/>
            <wp:docPr id="35" name="图片 3" descr="投稿-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投稿-图.tif"/>
                    <pic:cNvPicPr>
                      <a:picLocks noChangeAspect="1"/>
                    </pic:cNvPicPr>
                  </pic:nvPicPr>
                  <pic:blipFill>
                    <a:blip r:embed="rId5" cstate="print"/>
                    <a:stretch>
                      <a:fillRect/>
                    </a:stretch>
                  </pic:blipFill>
                  <pic:spPr>
                    <a:xfrm>
                      <a:off x="0" y="0"/>
                      <a:ext cx="5237558" cy="3142156"/>
                    </a:xfrm>
                    <a:prstGeom prst="rect">
                      <a:avLst/>
                    </a:prstGeom>
                  </pic:spPr>
                </pic:pic>
              </a:graphicData>
            </a:graphic>
          </wp:inline>
        </w:drawing>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 xml:space="preserve">Figure 1. </w:t>
      </w:r>
      <w:r>
        <w:rPr>
          <w:rFonts w:hint="default" w:ascii="Times New Roman" w:hAnsi="Times New Roman" w:eastAsia="宋体" w:cs="Times New Roman"/>
          <w:sz w:val="24"/>
          <w:szCs w:val="24"/>
        </w:rPr>
        <w:t>A-C derived from a 62-year-old man diagnosed with BPH with a PSA level of 4.814 ng/ml.</w:t>
      </w:r>
      <w:r>
        <w:rPr>
          <w:rFonts w:hint="default" w:ascii="Times New Roman" w:hAnsi="Times New Roman" w:eastAsia="宋体" w:cs="Times New Roman"/>
          <w:b/>
          <w:sz w:val="24"/>
          <w:szCs w:val="24"/>
        </w:rPr>
        <w:t xml:space="preserve"> A.</w:t>
      </w:r>
      <w:r>
        <w:rPr>
          <w:rFonts w:hint="default" w:ascii="Times New Roman" w:hAnsi="Times New Roman" w:eastAsia="宋体" w:cs="Times New Roman"/>
          <w:sz w:val="24"/>
          <w:szCs w:val="24"/>
        </w:rPr>
        <w:t xml:space="preserve"> T</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WI image.</w:t>
      </w:r>
      <w:r>
        <w:rPr>
          <w:rFonts w:hint="default" w:ascii="Times New Roman" w:hAnsi="Times New Roman" w:eastAsia="宋体" w:cs="Times New Roman"/>
          <w:b/>
          <w:sz w:val="24"/>
          <w:szCs w:val="24"/>
        </w:rPr>
        <w:t xml:space="preserve"> B. </w:t>
      </w:r>
      <w:r>
        <w:rPr>
          <w:rFonts w:hint="default" w:ascii="Times New Roman" w:hAnsi="Times New Roman" w:eastAsia="宋体" w:cs="Times New Roman"/>
          <w:sz w:val="24"/>
          <w:szCs w:val="24"/>
        </w:rPr>
        <w:t>DWI image with b=200 s/mm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 TE=54 ms.</w:t>
      </w:r>
      <w:r>
        <w:rPr>
          <w:rFonts w:hint="default" w:ascii="Times New Roman" w:hAnsi="Times New Roman" w:eastAsia="宋体" w:cs="Times New Roman"/>
          <w:b/>
          <w:sz w:val="24"/>
          <w:szCs w:val="24"/>
        </w:rPr>
        <w:t xml:space="preserve"> C. </w:t>
      </w:r>
      <w:r>
        <w:rPr>
          <w:rFonts w:hint="default" w:ascii="Times New Roman" w:hAnsi="Times New Roman" w:eastAsia="宋体" w:cs="Times New Roman"/>
          <w:sz w:val="24"/>
          <w:szCs w:val="24"/>
        </w:rPr>
        <w:t>DWI image with b=200 s/mm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 xml:space="preserve">, TE=100 ms. At the same b-value, the spatial resolution of each image decreases as the TE increases; however, the contrast between the TZ and PZ of the prostate was increased. </w:t>
      </w:r>
      <w:bookmarkStart w:id="20" w:name="OLE_LINK5"/>
      <w:bookmarkStart w:id="21" w:name="OLE_LINK6"/>
      <w:r>
        <w:rPr>
          <w:rFonts w:hint="default" w:ascii="Times New Roman" w:hAnsi="Times New Roman" w:eastAsia="宋体" w:cs="Times New Roman"/>
          <w:sz w:val="24"/>
          <w:szCs w:val="24"/>
        </w:rPr>
        <w:t xml:space="preserve">D-F derived from a 65-year-old man diagnosed with PCa (right PZ and TZ, GS=4+4=8) with a PSA level of 163.361 ng/ml. </w:t>
      </w:r>
      <w:r>
        <w:rPr>
          <w:rFonts w:hint="default" w:ascii="Times New Roman" w:hAnsi="Times New Roman" w:eastAsia="宋体" w:cs="Times New Roman"/>
          <w:b/>
          <w:sz w:val="24"/>
          <w:szCs w:val="24"/>
        </w:rPr>
        <w:t xml:space="preserve">D. </w:t>
      </w:r>
      <w:r>
        <w:rPr>
          <w:rFonts w:hint="default" w:ascii="Times New Roman" w:hAnsi="Times New Roman" w:eastAsia="宋体" w:cs="Times New Roman"/>
          <w:sz w:val="24"/>
          <w:szCs w:val="24"/>
        </w:rPr>
        <w:t>T</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WI image.</w:t>
      </w:r>
      <w:r>
        <w:rPr>
          <w:rFonts w:hint="default" w:ascii="Times New Roman" w:hAnsi="Times New Roman" w:eastAsia="宋体" w:cs="Times New Roman"/>
          <w:b/>
          <w:sz w:val="24"/>
          <w:szCs w:val="24"/>
        </w:rPr>
        <w:t xml:space="preserve"> E. </w:t>
      </w:r>
      <w:r>
        <w:rPr>
          <w:rFonts w:hint="default" w:ascii="Times New Roman" w:hAnsi="Times New Roman" w:eastAsia="宋体" w:cs="Times New Roman"/>
          <w:sz w:val="24"/>
          <w:szCs w:val="24"/>
        </w:rPr>
        <w:t>DWI image with b=1000 s/mm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 TE=54 ms.</w:t>
      </w:r>
      <w:r>
        <w:rPr>
          <w:rFonts w:hint="default" w:ascii="Times New Roman" w:hAnsi="Times New Roman" w:eastAsia="宋体" w:cs="Times New Roman"/>
          <w:b/>
          <w:sz w:val="24"/>
          <w:szCs w:val="24"/>
        </w:rPr>
        <w:t xml:space="preserve"> F.</w:t>
      </w:r>
      <w:r>
        <w:rPr>
          <w:rFonts w:hint="default" w:ascii="Times New Roman" w:hAnsi="Times New Roman" w:eastAsia="宋体" w:cs="Times New Roman"/>
          <w:sz w:val="24"/>
          <w:szCs w:val="24"/>
        </w:rPr>
        <w:t>DWI image with b=1000 s/mm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 TE=100 ms. At b=1000 s/mm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 good contrast of the lesion (arrow) is evident, and the bone metastases (asterisk) are clearly displayed. However, the quality of the shorter-TE image is better than that of the longer-TE image.</w:t>
      </w:r>
    </w:p>
    <w:bookmarkEnd w:id="20"/>
    <w:bookmarkEnd w:id="21"/>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i w:val="0"/>
          <w:iCs w:val="0"/>
          <w:caps w:val="0"/>
          <w:color w:val="333333"/>
          <w:spacing w:val="0"/>
          <w:sz w:val="24"/>
          <w:szCs w:val="24"/>
          <w:shd w:val="clear" w:fill="FFFFFF"/>
        </w:rPr>
        <w:t>植入式静脉输液港与经外周静脉穿刺中心静脉置管在肿瘤患者化疗的应用分析</w:t>
      </w:r>
      <w:r>
        <w:rPr>
          <w:rFonts w:hint="eastAsia" w:asciiTheme="majorEastAsia" w:hAnsiTheme="majorEastAsia" w:eastAsiaTheme="majorEastAsia" w:cstheme="majorEastAsia"/>
          <w:b/>
          <w:bCs/>
          <w:i w:val="0"/>
          <w:iCs w:val="0"/>
          <w:caps w:val="0"/>
          <w:color w:val="333333"/>
          <w:spacing w:val="0"/>
          <w:sz w:val="24"/>
          <w:szCs w:val="24"/>
          <w:shd w:val="clear" w:fill="FFFFFF"/>
          <w:lang w:val="en-US" w:eastAsia="zh-CN"/>
        </w:rPr>
        <w:t>(ID:8215)</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bCs/>
          <w:i w:val="0"/>
          <w:iCs w:val="0"/>
          <w:caps w:val="0"/>
          <w:color w:val="333333"/>
          <w:spacing w:val="0"/>
          <w:sz w:val="24"/>
          <w:szCs w:val="24"/>
          <w:shd w:val="clear" w:fill="FFFFFF"/>
        </w:rPr>
        <w:t>邓文友, 胡萍萍, 李子林</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bCs/>
          <w:i w:val="0"/>
          <w:iCs w:val="0"/>
          <w:caps w:val="0"/>
          <w:color w:val="333333"/>
          <w:spacing w:val="0"/>
          <w:sz w:val="24"/>
          <w:szCs w:val="24"/>
          <w:shd w:val="clear" w:fill="FFFFFF"/>
        </w:rPr>
        <w:t>湖北省肿瘤医院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sz w:val="24"/>
          <w:szCs w:val="24"/>
        </w:rPr>
      </w:pPr>
      <w:r>
        <w:rPr>
          <w:rFonts w:hint="eastAsia" w:ascii="宋体" w:hAnsi="宋体" w:eastAsia="宋体" w:cs="宋体"/>
          <w:i w:val="0"/>
          <w:iCs w:val="0"/>
          <w:caps w:val="0"/>
          <w:color w:val="060000"/>
          <w:spacing w:val="0"/>
          <w:kern w:val="0"/>
          <w:sz w:val="24"/>
          <w:szCs w:val="24"/>
          <w:shd w:val="clear" w:fill="FFFFFF"/>
          <w:lang w:val="en-US" w:eastAsia="zh-CN" w:bidi="ar"/>
        </w:rPr>
        <w:t>目的：</w:t>
      </w:r>
      <w:r>
        <w:rPr>
          <w:rFonts w:hint="eastAsia" w:ascii="宋体" w:hAnsi="宋体" w:eastAsia="宋体" w:cs="宋体"/>
          <w:i w:val="0"/>
          <w:iCs w:val="0"/>
          <w:caps w:val="0"/>
          <w:color w:val="333333"/>
          <w:spacing w:val="0"/>
          <w:sz w:val="24"/>
          <w:szCs w:val="24"/>
          <w:shd w:val="clear" w:fill="FFFFFF"/>
        </w:rPr>
        <w:t>探究植入式静脉输液港（VAP）与经外周静脉穿刺中心静脉置管（PICC）两种给药方式在肿瘤患者静脉化疗期间的临床应用效果。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sz w:val="24"/>
          <w:szCs w:val="24"/>
        </w:rPr>
      </w:pPr>
      <w:r>
        <w:rPr>
          <w:rFonts w:hint="eastAsia" w:ascii="宋体" w:hAnsi="宋体" w:eastAsia="宋体" w:cs="宋体"/>
          <w:i w:val="0"/>
          <w:iCs w:val="0"/>
          <w:caps w:val="0"/>
          <w:color w:val="060000"/>
          <w:spacing w:val="0"/>
          <w:kern w:val="0"/>
          <w:sz w:val="24"/>
          <w:szCs w:val="24"/>
          <w:shd w:val="clear" w:fill="FFFFFF"/>
          <w:lang w:val="en-US" w:eastAsia="zh-CN" w:bidi="ar"/>
        </w:rPr>
        <w:t>方法：</w:t>
      </w:r>
      <w:r>
        <w:rPr>
          <w:rFonts w:hint="eastAsia" w:ascii="宋体" w:hAnsi="宋体" w:eastAsia="宋体" w:cs="宋体"/>
          <w:i w:val="0"/>
          <w:iCs w:val="0"/>
          <w:caps w:val="0"/>
          <w:color w:val="333333"/>
          <w:spacing w:val="0"/>
          <w:sz w:val="24"/>
          <w:szCs w:val="24"/>
          <w:shd w:val="clear" w:fill="FFFFFF"/>
        </w:rPr>
        <w:t>选取2018年11月-2019年12月在我院进行静脉化疗的恶性肿瘤患者共1488例作为研究对象。其中观察组389例为采用VAP进行治疗的恶性肿瘤患者，对照组1099例为采用PICC治疗肿瘤患者。观察两组的导管尖端位置准确率、静脉炎发生率、导管相关感染、导管尖端异位、导管堵塞、患者舒适度、使用维护成本进行统计分析研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sz w:val="24"/>
          <w:szCs w:val="24"/>
        </w:rPr>
      </w:pPr>
      <w:r>
        <w:rPr>
          <w:rFonts w:hint="eastAsia" w:ascii="宋体" w:hAnsi="宋体" w:eastAsia="宋体" w:cs="宋体"/>
          <w:i w:val="0"/>
          <w:iCs w:val="0"/>
          <w:caps w:val="0"/>
          <w:color w:val="060000"/>
          <w:spacing w:val="0"/>
          <w:kern w:val="0"/>
          <w:sz w:val="24"/>
          <w:szCs w:val="24"/>
          <w:shd w:val="clear" w:fill="FFFFFF"/>
          <w:lang w:val="en-US" w:eastAsia="zh-CN" w:bidi="ar"/>
        </w:rPr>
        <w:t>结果：</w:t>
      </w:r>
      <w:r>
        <w:rPr>
          <w:rFonts w:hint="eastAsia" w:ascii="宋体" w:hAnsi="宋体" w:eastAsia="宋体" w:cs="宋体"/>
          <w:i w:val="0"/>
          <w:iCs w:val="0"/>
          <w:caps w:val="0"/>
          <w:color w:val="333333"/>
          <w:spacing w:val="0"/>
          <w:sz w:val="24"/>
          <w:szCs w:val="24"/>
          <w:shd w:val="clear" w:fill="FFFFFF"/>
        </w:rPr>
        <w:t>VAP组的导管尖端位置准确率（98.55%）高于PICC组（86.77%），VAP组静脉炎发生率(10.67%)要显著小于PICC 静脉炎发生的23.18%，两项差异均有统计学意义(P&lt;0.05)；VAP组在导管尖端异位及导管堵塞发生率均显著小于PICC 的相应并发症发生；VAP组的患者舒适度(91.13%)要显著高于PICC组（65.49%）,差异有统计学意义(P&lt;0.05)；两组导管相关感染率差异无统计学意义；VAP组的使用维护成本高于PICC组，差异均有统计学意义(P&lt;0.05)。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sz w:val="24"/>
          <w:szCs w:val="24"/>
        </w:rPr>
      </w:pPr>
      <w:r>
        <w:rPr>
          <w:rFonts w:hint="eastAsia" w:ascii="宋体" w:hAnsi="宋体" w:eastAsia="宋体" w:cs="宋体"/>
          <w:i w:val="0"/>
          <w:iCs w:val="0"/>
          <w:caps w:val="0"/>
          <w:color w:val="060000"/>
          <w:spacing w:val="0"/>
          <w:kern w:val="0"/>
          <w:sz w:val="24"/>
          <w:szCs w:val="24"/>
          <w:shd w:val="clear" w:fill="FFFFFF"/>
          <w:lang w:val="en-US" w:eastAsia="zh-CN" w:bidi="ar"/>
        </w:rPr>
        <w:t>结论：</w:t>
      </w:r>
      <w:r>
        <w:rPr>
          <w:rFonts w:hint="eastAsia" w:ascii="宋体" w:hAnsi="宋体" w:eastAsia="宋体" w:cs="宋体"/>
          <w:i w:val="0"/>
          <w:iCs w:val="0"/>
          <w:caps w:val="0"/>
          <w:color w:val="333333"/>
          <w:spacing w:val="0"/>
          <w:sz w:val="24"/>
          <w:szCs w:val="24"/>
          <w:shd w:val="clear" w:fill="FFFFFF"/>
        </w:rPr>
        <w:t>肿瘤患者化疗过程的两种给药方式中VAP相比于PICC具有较好的临床应用价值，相关并发症发生率较低，VAP对于提高患者生活质量更具优势，但使用维护成本偏高。</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060000"/>
          <w:spacing w:val="0"/>
          <w:sz w:val="24"/>
          <w:szCs w:val="24"/>
          <w:shd w:val="clear" w:fill="FFFFFF"/>
        </w:rPr>
        <w:t>关键字：</w:t>
      </w:r>
      <w:r>
        <w:rPr>
          <w:rFonts w:hint="eastAsia" w:ascii="宋体" w:hAnsi="宋体" w:eastAsia="宋体" w:cs="宋体"/>
          <w:i w:val="0"/>
          <w:iCs w:val="0"/>
          <w:caps w:val="0"/>
          <w:color w:val="333333"/>
          <w:spacing w:val="0"/>
          <w:sz w:val="24"/>
          <w:szCs w:val="24"/>
          <w:shd w:val="clear" w:fill="FFFFFF"/>
        </w:rPr>
        <w:t>静脉输液；肿瘤化疗；中心静脉导管</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jc w:val="center"/>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胸膜少见肿瘤的临床特点及CT 表现分析</w:t>
      </w:r>
    </w:p>
    <w:p>
      <w:pPr>
        <w:jc w:val="center"/>
        <w:rPr>
          <w:rFonts w:hint="eastAsia" w:ascii="宋体" w:hAnsi="宋体" w:eastAsia="宋体" w:cs="宋体"/>
          <w:kern w:val="0"/>
          <w:sz w:val="24"/>
          <w:szCs w:val="24"/>
        </w:rPr>
      </w:pPr>
      <w:r>
        <w:rPr>
          <w:rFonts w:hint="eastAsia" w:ascii="宋体" w:hAnsi="宋体" w:eastAsia="宋体" w:cs="宋体"/>
          <w:kern w:val="0"/>
          <w:sz w:val="24"/>
          <w:szCs w:val="24"/>
        </w:rPr>
        <w:t>湖北省肿瘤医院</w:t>
      </w:r>
    </w:p>
    <w:p>
      <w:pPr>
        <w:jc w:val="center"/>
        <w:rPr>
          <w:rFonts w:hint="eastAsia" w:ascii="宋体" w:hAnsi="宋体" w:eastAsia="宋体" w:cs="宋体"/>
          <w:kern w:val="0"/>
          <w:sz w:val="24"/>
          <w:szCs w:val="24"/>
        </w:rPr>
      </w:pPr>
      <w:r>
        <w:rPr>
          <w:rFonts w:hint="eastAsia" w:ascii="宋体" w:hAnsi="宋体" w:eastAsia="宋体" w:cs="宋体"/>
          <w:kern w:val="0"/>
          <w:sz w:val="24"/>
          <w:szCs w:val="24"/>
        </w:rPr>
        <w:t>杨倩</w:t>
      </w:r>
    </w:p>
    <w:p>
      <w:pPr>
        <w:autoSpaceDE w:val="0"/>
        <w:autoSpaceDN w:val="0"/>
        <w:adjustRightInd w:val="0"/>
        <w:jc w:val="left"/>
        <w:rPr>
          <w:rFonts w:hint="eastAsia" w:ascii="宋体" w:hAnsi="宋体" w:eastAsia="宋体" w:cs="宋体"/>
          <w:kern w:val="0"/>
          <w:sz w:val="24"/>
          <w:szCs w:val="24"/>
        </w:rPr>
      </w:pPr>
      <w:r>
        <w:rPr>
          <w:rFonts w:hint="eastAsia" w:ascii="宋体" w:hAnsi="宋体" w:eastAsia="宋体" w:cs="宋体"/>
          <w:kern w:val="0"/>
          <w:sz w:val="24"/>
          <w:szCs w:val="24"/>
        </w:rPr>
        <w:t>摘要:目的</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分析胸膜少见肿瘤的CT 表现,提高对该类疾病的认识和诊断水平。</w:t>
      </w:r>
    </w:p>
    <w:p>
      <w:pPr>
        <w:autoSpaceDE w:val="0"/>
        <w:autoSpaceDN w:val="0"/>
        <w:adjustRightInd w:val="0"/>
        <w:jc w:val="left"/>
        <w:rPr>
          <w:rFonts w:hint="eastAsia" w:ascii="宋体" w:hAnsi="宋体" w:eastAsia="宋体" w:cs="宋体"/>
          <w:kern w:val="0"/>
          <w:sz w:val="24"/>
          <w:szCs w:val="24"/>
        </w:rPr>
      </w:pPr>
      <w:r>
        <w:rPr>
          <w:rFonts w:hint="eastAsia" w:ascii="宋体" w:hAnsi="宋体" w:eastAsia="宋体" w:cs="宋体"/>
          <w:kern w:val="0"/>
          <w:sz w:val="24"/>
          <w:szCs w:val="24"/>
        </w:rPr>
        <w:t>方法</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回顾性分析经病理证实的25例胸膜少见肿瘤的临床、影像及病理资料,总结CT 表现特征。</w:t>
      </w:r>
    </w:p>
    <w:p>
      <w:pPr>
        <w:autoSpaceDE w:val="0"/>
        <w:autoSpaceDN w:val="0"/>
        <w:adjustRightInd w:val="0"/>
        <w:jc w:val="left"/>
        <w:rPr>
          <w:rFonts w:hint="eastAsia" w:ascii="宋体" w:hAnsi="宋体" w:eastAsia="宋体" w:cs="宋体"/>
          <w:kern w:val="0"/>
          <w:sz w:val="24"/>
          <w:szCs w:val="24"/>
        </w:rPr>
      </w:pPr>
      <w:r>
        <w:rPr>
          <w:rFonts w:hint="eastAsia" w:ascii="宋体" w:hAnsi="宋体" w:eastAsia="宋体" w:cs="宋体"/>
          <w:kern w:val="0"/>
          <w:sz w:val="24"/>
          <w:szCs w:val="24"/>
        </w:rPr>
        <w:t>结果</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29例胸膜少见肿瘤中,孤立性纤维瘤7例,肿块平均最大径约12.3cm，5例增强扫描“地图样”强化,3例渐进性强化；原始神经外胚层(Askin)肿瘤5例,肿块平均最大径约7.2cm,1例表现为双侧胸壁软组织不均匀增厚,3例增强扫描部分边缘延迟强化,4例伴肋骨转移；1例骨外尤文肉瘤，肿块最大径约6.2cm，增强明显不均匀强化；4例硬纤维瘤，肿块平均最大径约5.3cm，CT平扫为等低密度，增强扫描呈不同程度强化，以轻-中度不均匀渐进性强化为准；神经鞘瘤4例,肿块平均最大径约5.4cm,CT平扫密度约10~30HU,增强扫描轻度强化；淋巴瘤3例,CT主要表现为胸膜不均匀增厚,增强扫描轻度强化;畸胎瘤２ 例,肿块平均最大径约14cm,CT表现为胸腔内含有脂肪、钙化及水样密度的肿块,增强扫描不均匀强化,１例可见双侧内乳动脉供血;滑膜肉瘤２例,肿块平均最大径约11.5cm,CT 平扫密度不均匀,增强扫描明显不均匀强化；脂肪肉瘤１例,右侧胸腔巨大软组织密度肿块,平均最大径约16.7cm,密度不均匀,增强扫描轻度不均匀强化。结论 胸部CT 检查是检出和诊断胸膜少见肿瘤的重要手段,胸膜孤立性纤维瘤“地图样”强化、Askin 瘤具有向胸壁两侧生长的趋势、侵犯邻近的肋骨有助于提高术前诊断的准确性。</w:t>
      </w:r>
    </w:p>
    <w:p>
      <w:pPr>
        <w:rPr>
          <w:rFonts w:hint="eastAsia" w:ascii="宋体" w:hAnsi="宋体" w:eastAsia="宋体" w:cs="宋体"/>
          <w:sz w:val="24"/>
          <w:szCs w:val="24"/>
        </w:rPr>
      </w:pPr>
      <w:r>
        <w:rPr>
          <w:rFonts w:hint="eastAsia" w:ascii="宋体" w:hAnsi="宋体" w:eastAsia="宋体" w:cs="宋体"/>
          <w:kern w:val="0"/>
          <w:sz w:val="24"/>
          <w:szCs w:val="24"/>
        </w:rPr>
        <w:t>关键词:胸膜;肿瘤;计算机体层成像</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b/>
          <w:bCs/>
          <w:i w:val="0"/>
          <w:iCs w:val="0"/>
          <w:caps w:val="0"/>
          <w:color w:val="333333"/>
          <w:spacing w:val="0"/>
          <w:sz w:val="24"/>
          <w:szCs w:val="24"/>
          <w:shd w:val="clear" w:fill="FFFFFF"/>
        </w:rPr>
        <w:t>胸部CT特征对安罗替尼治疗晚期非小细胞肺癌疗效及预后的预测价值</w:t>
      </w:r>
      <w:r>
        <w:rPr>
          <w:rFonts w:hint="eastAsia" w:ascii="宋体" w:hAnsi="宋体" w:eastAsia="宋体" w:cs="宋体"/>
          <w:b/>
          <w:bCs/>
          <w:i w:val="0"/>
          <w:iCs w:val="0"/>
          <w:caps w:val="0"/>
          <w:color w:val="333333"/>
          <w:spacing w:val="0"/>
          <w:sz w:val="24"/>
          <w:szCs w:val="24"/>
          <w:shd w:val="clear" w:fill="FFFFFF"/>
          <w:lang w:val="en-US" w:eastAsia="zh-CN"/>
        </w:rPr>
        <w:t>(</w:t>
      </w:r>
      <w:r>
        <w:rPr>
          <w:rFonts w:hint="eastAsia" w:ascii="宋体" w:hAnsi="宋体" w:eastAsia="宋体" w:cs="宋体"/>
          <w:b/>
          <w:bCs/>
          <w:i w:val="0"/>
          <w:iCs w:val="0"/>
          <w:caps w:val="0"/>
          <w:color w:val="333333"/>
          <w:spacing w:val="0"/>
          <w:sz w:val="24"/>
          <w:szCs w:val="24"/>
          <w:shd w:val="clear" w:fill="FFFFFF"/>
        </w:rPr>
        <w:t>ID</w:t>
      </w:r>
      <w:r>
        <w:rPr>
          <w:rFonts w:hint="eastAsia" w:ascii="宋体" w:hAnsi="宋体" w:eastAsia="宋体" w:cs="宋体"/>
          <w:b/>
          <w:bCs/>
          <w:i w:val="0"/>
          <w:iCs w:val="0"/>
          <w:caps w:val="0"/>
          <w:color w:val="333333"/>
          <w:spacing w:val="0"/>
          <w:sz w:val="24"/>
          <w:szCs w:val="24"/>
          <w:shd w:val="clear" w:fill="FFFFFF"/>
          <w:lang w:val="en-US" w:eastAsia="zh-CN"/>
        </w:rPr>
        <w:t>2483)</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bCs/>
          <w:i w:val="0"/>
          <w:iCs w:val="0"/>
          <w:caps w:val="0"/>
          <w:color w:val="333333"/>
          <w:spacing w:val="0"/>
          <w:sz w:val="24"/>
          <w:szCs w:val="24"/>
          <w:shd w:val="clear" w:fill="FFFFFF"/>
        </w:rPr>
        <w:t>邓文友</w:t>
      </w:r>
      <w:r>
        <w:rPr>
          <w:rFonts w:hint="eastAsia" w:ascii="宋体" w:hAnsi="宋体" w:eastAsia="宋体" w:cs="宋体"/>
          <w:b/>
          <w:bCs/>
          <w:i w:val="0"/>
          <w:iCs w:val="0"/>
          <w:caps w:val="0"/>
          <w:color w:val="333333"/>
          <w:spacing w:val="0"/>
          <w:sz w:val="24"/>
          <w:szCs w:val="24"/>
          <w:shd w:val="clear" w:fill="FFFFFF"/>
          <w:vertAlign w:val="superscript"/>
        </w:rPr>
        <w:t>*</w:t>
      </w:r>
      <w:r>
        <w:rPr>
          <w:rFonts w:hint="eastAsia" w:ascii="宋体" w:hAnsi="宋体" w:eastAsia="宋体" w:cs="宋体"/>
          <w:b/>
          <w:bCs/>
          <w:i w:val="0"/>
          <w:iCs w:val="0"/>
          <w:caps w:val="0"/>
          <w:color w:val="333333"/>
          <w:spacing w:val="0"/>
          <w:sz w:val="24"/>
          <w:szCs w:val="24"/>
          <w:shd w:val="clear" w:fill="FFFFFF"/>
        </w:rPr>
        <w:t>, 胡奎</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bCs/>
          <w:i w:val="0"/>
          <w:iCs w:val="0"/>
          <w:caps w:val="0"/>
          <w:color w:val="333333"/>
          <w:spacing w:val="0"/>
          <w:sz w:val="24"/>
          <w:szCs w:val="24"/>
          <w:shd w:val="clear" w:fill="FFFFFF"/>
        </w:rPr>
        <w:t>湖北省肿瘤医院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sz w:val="24"/>
          <w:szCs w:val="24"/>
        </w:rPr>
      </w:pPr>
      <w:r>
        <w:rPr>
          <w:rFonts w:hint="eastAsia" w:ascii="宋体" w:hAnsi="宋体" w:eastAsia="宋体" w:cs="宋体"/>
          <w:i w:val="0"/>
          <w:iCs w:val="0"/>
          <w:caps w:val="0"/>
          <w:color w:val="060000"/>
          <w:spacing w:val="0"/>
          <w:kern w:val="0"/>
          <w:sz w:val="24"/>
          <w:szCs w:val="24"/>
          <w:shd w:val="clear" w:fill="FFFFFF"/>
          <w:lang w:val="en-US" w:eastAsia="zh-CN" w:bidi="ar"/>
        </w:rPr>
        <w:t>目的：</w:t>
      </w:r>
      <w:r>
        <w:rPr>
          <w:rFonts w:hint="eastAsia" w:ascii="宋体" w:hAnsi="宋体" w:eastAsia="宋体" w:cs="宋体"/>
          <w:i w:val="0"/>
          <w:iCs w:val="0"/>
          <w:caps w:val="0"/>
          <w:color w:val="333333"/>
          <w:spacing w:val="0"/>
          <w:sz w:val="24"/>
          <w:szCs w:val="24"/>
          <w:shd w:val="clear" w:fill="FFFFFF"/>
        </w:rPr>
        <w:t>探究胸部CT影像特征对安罗替尼治疗晚期非小细胞肺癌（non-small cell lung cancer，NSCLC）患者的疗效评估及预后预测的价值。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sz w:val="24"/>
          <w:szCs w:val="24"/>
        </w:rPr>
      </w:pPr>
      <w:r>
        <w:rPr>
          <w:rFonts w:hint="eastAsia" w:ascii="宋体" w:hAnsi="宋体" w:eastAsia="宋体" w:cs="宋体"/>
          <w:i w:val="0"/>
          <w:iCs w:val="0"/>
          <w:caps w:val="0"/>
          <w:color w:val="060000"/>
          <w:spacing w:val="0"/>
          <w:kern w:val="0"/>
          <w:sz w:val="24"/>
          <w:szCs w:val="24"/>
          <w:shd w:val="clear" w:fill="FFFFFF"/>
          <w:lang w:val="en-US" w:eastAsia="zh-CN" w:bidi="ar"/>
        </w:rPr>
        <w:t>方法：</w:t>
      </w:r>
      <w:r>
        <w:rPr>
          <w:rFonts w:hint="eastAsia" w:ascii="宋体" w:hAnsi="宋体" w:eastAsia="宋体" w:cs="宋体"/>
          <w:i w:val="0"/>
          <w:iCs w:val="0"/>
          <w:caps w:val="0"/>
          <w:color w:val="333333"/>
          <w:spacing w:val="0"/>
          <w:sz w:val="24"/>
          <w:szCs w:val="24"/>
          <w:shd w:val="clear" w:fill="FFFFFF"/>
        </w:rPr>
        <w:t>回顾性分析2017年6月至2020年9月期间83例晚期NSCLC患者经安罗替尼治疗的临床资料。对其临床资料及治疗过程中复查的胸部CT图像进行相关影像特征性分析，包括肿瘤大小、位置、有无空洞、胸膜转移、胸腔积液、癌性淋巴管炎、肿瘤强化程度、纵隔淋巴结，根据实体瘤疗效评价标准RECIST(1.1版）对患者的治疗效果进行随访评估分为治疗有效组与无效组，并记录无进展生存期（progression-free survival，PFS），各组之间率的比较采用χ2检验及Fisher 精确检验，连续变量采用ann-Whitney U检验进行分析。使用Kaplan-Meier法进行单因素生存分析并使用Log-rank法进行显著性检验。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sz w:val="24"/>
          <w:szCs w:val="24"/>
        </w:rPr>
      </w:pPr>
      <w:r>
        <w:rPr>
          <w:rFonts w:hint="eastAsia" w:ascii="宋体" w:hAnsi="宋体" w:eastAsia="宋体" w:cs="宋体"/>
          <w:i w:val="0"/>
          <w:iCs w:val="0"/>
          <w:caps w:val="0"/>
          <w:color w:val="060000"/>
          <w:spacing w:val="0"/>
          <w:kern w:val="0"/>
          <w:sz w:val="24"/>
          <w:szCs w:val="24"/>
          <w:shd w:val="clear" w:fill="FFFFFF"/>
          <w:lang w:val="en-US" w:eastAsia="zh-CN" w:bidi="ar"/>
        </w:rPr>
        <w:t>结果：</w:t>
      </w:r>
      <w:r>
        <w:rPr>
          <w:rFonts w:hint="eastAsia" w:ascii="宋体" w:hAnsi="宋体" w:eastAsia="宋体" w:cs="宋体"/>
          <w:i w:val="0"/>
          <w:iCs w:val="0"/>
          <w:caps w:val="0"/>
          <w:color w:val="333333"/>
          <w:spacing w:val="0"/>
          <w:sz w:val="24"/>
          <w:szCs w:val="24"/>
          <w:shd w:val="clear" w:fill="FFFFFF"/>
        </w:rPr>
        <w:t>所有患者的中位PFS为5个月，患者治疗中复查的胸部CT的各项特征与安罗替尼治疗疗效无相关性（P&gt;0.05）。单因素生存分析显示，肿瘤体积较大（P=0.008）、中央型（P=0.002）、空洞（P=0.001）、胸腔积液（P=0.002）、癌性淋巴管炎（P=0.013）提示患者PFS时间较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sz w:val="24"/>
          <w:szCs w:val="24"/>
        </w:rPr>
      </w:pPr>
      <w:r>
        <w:rPr>
          <w:rFonts w:hint="eastAsia" w:ascii="宋体" w:hAnsi="宋体" w:eastAsia="宋体" w:cs="宋体"/>
          <w:i w:val="0"/>
          <w:iCs w:val="0"/>
          <w:caps w:val="0"/>
          <w:color w:val="060000"/>
          <w:spacing w:val="0"/>
          <w:kern w:val="0"/>
          <w:sz w:val="24"/>
          <w:szCs w:val="24"/>
          <w:shd w:val="clear" w:fill="FFFFFF"/>
          <w:lang w:val="en-US" w:eastAsia="zh-CN" w:bidi="ar"/>
        </w:rPr>
        <w:t>结论：</w:t>
      </w:r>
      <w:r>
        <w:rPr>
          <w:rFonts w:hint="eastAsia" w:ascii="宋体" w:hAnsi="宋体" w:eastAsia="宋体" w:cs="宋体"/>
          <w:i w:val="0"/>
          <w:iCs w:val="0"/>
          <w:caps w:val="0"/>
          <w:color w:val="333333"/>
          <w:spacing w:val="0"/>
          <w:sz w:val="24"/>
          <w:szCs w:val="24"/>
          <w:shd w:val="clear" w:fill="FFFFFF"/>
        </w:rPr>
        <w:t>晚期NSCLC治疗过程中胸部CT部分特征性表现对预测安罗替尼治疗预后的预测具有一定的价值。</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60000"/>
          <w:spacing w:val="0"/>
          <w:sz w:val="24"/>
          <w:szCs w:val="24"/>
          <w:shd w:val="clear" w:fill="FFFFFF"/>
        </w:rPr>
        <w:t>关键字：</w:t>
      </w:r>
      <w:r>
        <w:rPr>
          <w:rFonts w:hint="eastAsia" w:ascii="宋体" w:hAnsi="宋体" w:eastAsia="宋体" w:cs="宋体"/>
          <w:i w:val="0"/>
          <w:iCs w:val="0"/>
          <w:caps w:val="0"/>
          <w:color w:val="333333"/>
          <w:spacing w:val="0"/>
          <w:sz w:val="24"/>
          <w:szCs w:val="24"/>
          <w:shd w:val="clear" w:fill="FFFFFF"/>
        </w:rPr>
        <w:t>非小细胞肺癌；靶向药物；胸部CT特征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p>
    <w:p>
      <w:pPr>
        <w:spacing w:line="300" w:lineRule="auto"/>
        <w:jc w:val="center"/>
        <w:rPr>
          <w:rFonts w:hint="eastAsia" w:ascii="宋体" w:hAnsi="宋体" w:eastAsia="宋体" w:cs="宋体"/>
          <w:sz w:val="24"/>
          <w:szCs w:val="24"/>
        </w:rPr>
      </w:pPr>
      <w:r>
        <w:rPr>
          <w:rFonts w:hint="eastAsia" w:ascii="宋体" w:hAnsi="宋体" w:eastAsia="宋体" w:cs="宋体"/>
          <w:sz w:val="24"/>
          <w:szCs w:val="24"/>
        </w:rPr>
        <w:t>外生型肝癌的多层CT诊断</w:t>
      </w:r>
    </w:p>
    <w:p>
      <w:pPr>
        <w:spacing w:line="300" w:lineRule="auto"/>
        <w:ind w:firstLine="3840" w:firstLineChars="1600"/>
        <w:rPr>
          <w:rFonts w:hint="eastAsia" w:ascii="宋体" w:hAnsi="宋体" w:eastAsia="宋体" w:cs="宋体"/>
          <w:sz w:val="24"/>
          <w:szCs w:val="24"/>
        </w:rPr>
      </w:pPr>
      <w:r>
        <w:rPr>
          <w:rFonts w:hint="eastAsia" w:ascii="宋体" w:hAnsi="宋体" w:eastAsia="宋体" w:cs="宋体"/>
          <w:sz w:val="24"/>
          <w:szCs w:val="24"/>
        </w:rPr>
        <w:t>刘涛</w:t>
      </w:r>
    </w:p>
    <w:p>
      <w:pPr>
        <w:spacing w:line="300" w:lineRule="auto"/>
        <w:ind w:firstLine="3120" w:firstLineChars="1300"/>
        <w:jc w:val="left"/>
        <w:rPr>
          <w:rFonts w:hint="eastAsia" w:ascii="宋体" w:hAnsi="宋体" w:eastAsia="宋体" w:cs="宋体"/>
          <w:sz w:val="24"/>
          <w:szCs w:val="24"/>
        </w:rPr>
      </w:pPr>
      <w:r>
        <w:rPr>
          <w:rFonts w:hint="eastAsia" w:ascii="宋体" w:hAnsi="宋体" w:eastAsia="宋体" w:cs="宋体"/>
          <w:sz w:val="24"/>
          <w:szCs w:val="24"/>
        </w:rPr>
        <w:t>湖北省肿瘤医院</w:t>
      </w:r>
    </w:p>
    <w:p>
      <w:pPr>
        <w:spacing w:line="300" w:lineRule="auto"/>
        <w:rPr>
          <w:rFonts w:hint="eastAsia" w:ascii="宋体" w:hAnsi="宋体" w:eastAsia="宋体" w:cs="宋体"/>
          <w:sz w:val="24"/>
          <w:szCs w:val="24"/>
        </w:rPr>
      </w:pPr>
      <w:r>
        <w:rPr>
          <w:rFonts w:hint="eastAsia" w:ascii="宋体" w:hAnsi="宋体" w:eastAsia="宋体" w:cs="宋体"/>
          <w:b/>
          <w:sz w:val="24"/>
          <w:szCs w:val="24"/>
        </w:rPr>
        <w:t>摘要：目的：</w:t>
      </w:r>
      <w:r>
        <w:rPr>
          <w:rFonts w:hint="eastAsia" w:ascii="宋体" w:hAnsi="宋体" w:eastAsia="宋体" w:cs="宋体"/>
          <w:sz w:val="24"/>
          <w:szCs w:val="24"/>
        </w:rPr>
        <w:t>探讨外生型肝癌的多层CT影像表现 。</w:t>
      </w:r>
      <w:r>
        <w:rPr>
          <w:rFonts w:hint="eastAsia" w:ascii="宋体" w:hAnsi="宋体" w:eastAsia="宋体" w:cs="宋体"/>
          <w:b/>
          <w:sz w:val="24"/>
          <w:szCs w:val="24"/>
        </w:rPr>
        <w:t>方法：</w:t>
      </w:r>
      <w:r>
        <w:rPr>
          <w:rFonts w:hint="eastAsia" w:ascii="宋体" w:hAnsi="宋体" w:eastAsia="宋体" w:cs="宋体"/>
          <w:sz w:val="24"/>
          <w:szCs w:val="24"/>
        </w:rPr>
        <w:t>搜集我院2015年至今经手术病理证实之肝外型肝癌 15 例，其中男性 10 例，女性 5例，年龄 22～66 岁，平均年龄 44 岁。上述病例6例为体检发现，9例出现不同程度腹痛症状就诊，既往存在乙肝病史者10例，上述患者均行肿瘤标记物检查，于我科就诊均行 CT平扫、增强及血管三维重建。分析外生型肝癌的多层CT影像表现，尤其是血管三维重建对其诊断价值。</w:t>
      </w:r>
      <w:r>
        <w:rPr>
          <w:rFonts w:hint="eastAsia" w:ascii="宋体" w:hAnsi="宋体" w:eastAsia="宋体" w:cs="宋体"/>
          <w:b/>
          <w:sz w:val="24"/>
          <w:szCs w:val="24"/>
        </w:rPr>
        <w:t>结果：</w:t>
      </w:r>
      <w:r>
        <w:rPr>
          <w:rFonts w:hint="eastAsia" w:ascii="宋体" w:hAnsi="宋体" w:eastAsia="宋体" w:cs="宋体"/>
          <w:sz w:val="24"/>
          <w:szCs w:val="24"/>
        </w:rPr>
        <w:t>在本组 15例外生型肝癌中，仅3例AFP阳性，余下12例肿瘤标记物阴性，1例肝功能明显异常。本组15例在CT表现中，仅8 例存在肝硬化，其它7例肝脏大体形态正常。肿块位于肝左叶旁 8 例，肝右叶旁 5 例，尾状叶旁 2 例，相关邻近之胃体、肾脏、胰腺均不同程度受压；肿块 5 例以囊变为主，10 例以实性部分为主，囊变不明显，实体部分均强化明显，呈“快进快出”表现；经惠普工作中行血管三维重建（仅作动脉期重建），VR图像显示 4 例由肝右动脉供血，其中1例肝右动脉起自肠系膜上动脉，7 例由肝左动脉供血，其中2例胃左动脉与肝左动脉共干发出，2 例由胃右动脉供血，2 例由胃十二指肠动脉供血。本组 15 例均未见门静脉瘤栓形成，上述15例中，术前2例误诊为胃间质瘤，2例误诊为肝肾间隙肿瘤。</w:t>
      </w:r>
      <w:r>
        <w:rPr>
          <w:rFonts w:hint="eastAsia" w:ascii="宋体" w:hAnsi="宋体" w:eastAsia="宋体" w:cs="宋体"/>
          <w:b/>
          <w:sz w:val="24"/>
          <w:szCs w:val="24"/>
        </w:rPr>
        <w:t>结论：</w:t>
      </w:r>
      <w:r>
        <w:rPr>
          <w:rFonts w:hint="eastAsia" w:ascii="宋体" w:hAnsi="宋体" w:eastAsia="宋体" w:cs="宋体"/>
          <w:sz w:val="24"/>
          <w:szCs w:val="24"/>
        </w:rPr>
        <w:t>外生型肝癌均有常见肝癌的强化特征，多层CT 血管三维重建可以显示肝癌的供血动脉，对外生型肝癌之定位有重要价值。</w:t>
      </w:r>
    </w:p>
    <w:p>
      <w:pPr>
        <w:spacing w:line="300" w:lineRule="auto"/>
        <w:rPr>
          <w:rFonts w:hint="eastAsia" w:ascii="宋体" w:hAnsi="宋体" w:eastAsia="宋体" w:cs="宋体"/>
          <w:sz w:val="24"/>
          <w:szCs w:val="24"/>
        </w:rPr>
      </w:pPr>
      <w:r>
        <w:rPr>
          <w:rFonts w:hint="eastAsia" w:ascii="宋体" w:hAnsi="宋体" w:eastAsia="宋体" w:cs="宋体"/>
          <w:b/>
          <w:sz w:val="24"/>
          <w:szCs w:val="24"/>
        </w:rPr>
        <w:t>关键词：</w:t>
      </w:r>
      <w:r>
        <w:rPr>
          <w:rFonts w:hint="eastAsia" w:ascii="宋体" w:hAnsi="宋体" w:eastAsia="宋体" w:cs="宋体"/>
          <w:sz w:val="24"/>
          <w:szCs w:val="24"/>
        </w:rPr>
        <w:t>外生型肝癌；血管三维重建；供血动脉</w:t>
      </w:r>
    </w:p>
    <w:p>
      <w:pPr>
        <w:rPr>
          <w:rFonts w:hint="eastAsia" w:ascii="宋体" w:hAnsi="宋体" w:eastAsia="宋体" w:cs="宋体"/>
          <w:sz w:val="24"/>
          <w:szCs w:val="24"/>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line="300" w:lineRule="auto"/>
        <w:ind w:firstLine="432"/>
        <w:jc w:val="center"/>
        <w:rPr>
          <w:rFonts w:hint="eastAsia" w:ascii="宋体" w:hAnsi="宋体" w:eastAsia="宋体" w:cs="宋体"/>
          <w:sz w:val="24"/>
          <w:szCs w:val="24"/>
        </w:rPr>
      </w:pPr>
      <w:r>
        <w:rPr>
          <w:rFonts w:hint="eastAsia" w:ascii="宋体" w:hAnsi="宋体" w:eastAsia="宋体" w:cs="宋体"/>
          <w:sz w:val="24"/>
          <w:szCs w:val="24"/>
        </w:rPr>
        <w:t>腮腺良恶性肿瘤的CT增强表现及鉴别诊断</w:t>
      </w:r>
    </w:p>
    <w:p>
      <w:pPr>
        <w:spacing w:line="300" w:lineRule="auto"/>
        <w:ind w:firstLine="432"/>
        <w:jc w:val="center"/>
        <w:rPr>
          <w:rFonts w:hint="eastAsia" w:ascii="宋体" w:hAnsi="宋体" w:eastAsia="宋体" w:cs="宋体"/>
          <w:sz w:val="24"/>
          <w:szCs w:val="24"/>
        </w:rPr>
      </w:pPr>
      <w:r>
        <w:rPr>
          <w:rFonts w:hint="eastAsia" w:ascii="宋体" w:hAnsi="宋体" w:eastAsia="宋体" w:cs="宋体"/>
          <w:sz w:val="24"/>
          <w:szCs w:val="24"/>
        </w:rPr>
        <w:t>刘涛</w:t>
      </w:r>
    </w:p>
    <w:p>
      <w:pPr>
        <w:spacing w:line="300" w:lineRule="auto"/>
        <w:ind w:firstLine="432"/>
        <w:jc w:val="center"/>
        <w:rPr>
          <w:rFonts w:hint="eastAsia" w:ascii="宋体" w:hAnsi="宋体" w:eastAsia="宋体" w:cs="宋体"/>
          <w:sz w:val="24"/>
          <w:szCs w:val="24"/>
        </w:rPr>
      </w:pPr>
      <w:r>
        <w:rPr>
          <w:rFonts w:hint="eastAsia" w:ascii="宋体" w:hAnsi="宋体" w:eastAsia="宋体" w:cs="宋体"/>
          <w:sz w:val="24"/>
          <w:szCs w:val="24"/>
        </w:rPr>
        <w:t xml:space="preserve"> 湖北省肿瘤医院</w:t>
      </w:r>
    </w:p>
    <w:p>
      <w:pPr>
        <w:spacing w:line="300" w:lineRule="auto"/>
        <w:rPr>
          <w:rFonts w:hint="eastAsia" w:ascii="宋体" w:hAnsi="宋体" w:eastAsia="宋体" w:cs="宋体"/>
          <w:b/>
          <w:sz w:val="24"/>
          <w:szCs w:val="24"/>
        </w:rPr>
      </w:pPr>
    </w:p>
    <w:p>
      <w:pPr>
        <w:spacing w:line="300" w:lineRule="auto"/>
        <w:rPr>
          <w:rFonts w:hint="eastAsia" w:ascii="宋体" w:hAnsi="宋体" w:eastAsia="宋体" w:cs="宋体"/>
          <w:sz w:val="24"/>
          <w:szCs w:val="24"/>
        </w:rPr>
      </w:pPr>
      <w:r>
        <w:rPr>
          <w:rFonts w:hint="eastAsia" w:ascii="宋体" w:hAnsi="宋体" w:eastAsia="宋体" w:cs="宋体"/>
          <w:b/>
          <w:sz w:val="24"/>
          <w:szCs w:val="24"/>
        </w:rPr>
        <w:t>目的</w:t>
      </w:r>
      <w:r>
        <w:rPr>
          <w:rFonts w:hint="eastAsia" w:ascii="宋体" w:hAnsi="宋体" w:eastAsia="宋体" w:cs="宋体"/>
          <w:sz w:val="24"/>
          <w:szCs w:val="24"/>
        </w:rPr>
        <w:t>：探讨腮腺良恶性肿瘤的CT增强表现，提高对腮腺良恶性肿瘤的诊断能力及鉴别诊断能力。</w:t>
      </w:r>
    </w:p>
    <w:p>
      <w:pPr>
        <w:spacing w:line="300" w:lineRule="auto"/>
        <w:rPr>
          <w:rFonts w:hint="eastAsia" w:ascii="宋体" w:hAnsi="宋体" w:eastAsia="宋体" w:cs="宋体"/>
          <w:sz w:val="24"/>
          <w:szCs w:val="24"/>
        </w:rPr>
      </w:pPr>
      <w:r>
        <w:rPr>
          <w:rFonts w:hint="eastAsia" w:ascii="宋体" w:hAnsi="宋体" w:eastAsia="宋体" w:cs="宋体"/>
          <w:b/>
          <w:sz w:val="24"/>
          <w:szCs w:val="24"/>
        </w:rPr>
        <w:t>方法</w:t>
      </w:r>
      <w:r>
        <w:rPr>
          <w:rFonts w:hint="eastAsia" w:ascii="宋体" w:hAnsi="宋体" w:eastAsia="宋体" w:cs="宋体"/>
          <w:sz w:val="24"/>
          <w:szCs w:val="24"/>
        </w:rPr>
        <w:t>：回顾性分析腮腺58例良恶性肿瘤的CT平扫、增强表现及影像特征。</w:t>
      </w:r>
    </w:p>
    <w:p>
      <w:pPr>
        <w:spacing w:line="300" w:lineRule="auto"/>
        <w:rPr>
          <w:rFonts w:hint="eastAsia" w:ascii="宋体" w:hAnsi="宋体" w:eastAsia="宋体" w:cs="宋体"/>
          <w:sz w:val="24"/>
          <w:szCs w:val="24"/>
        </w:rPr>
      </w:pPr>
      <w:r>
        <w:rPr>
          <w:rFonts w:hint="eastAsia" w:ascii="宋体" w:hAnsi="宋体" w:eastAsia="宋体" w:cs="宋体"/>
          <w:b/>
          <w:sz w:val="24"/>
          <w:szCs w:val="24"/>
        </w:rPr>
        <w:t>结果</w:t>
      </w:r>
      <w:r>
        <w:rPr>
          <w:rFonts w:hint="eastAsia" w:ascii="宋体" w:hAnsi="宋体" w:eastAsia="宋体" w:cs="宋体"/>
          <w:sz w:val="24"/>
          <w:szCs w:val="24"/>
        </w:rPr>
        <w:t>：58例肿瘤中，腮腺多形性腺瘤15例，增强CT呈渐进式强化（动脉期轻度强化，常轮廓不清，静脉期强化进一步增强且呈现清晰边界）。腮腺腺淋巴瘤12例，肿瘤边界清晰、光滑，可多发及对称性发病，常位于腮腺浅叶后下极，增强CT呈“快进快出”强化。基底细胞腺瘤6例，增强呈渐进式强化，但动脉期强化程度明显高于腮腺多形性腺瘤，动脉期强化程度弱于腺淋巴瘤或相仿，基底细胞腺瘤液化坏死多见，呈环形强化。基底细胞腺癌2例，2例均存在液化坏死呈环形强化特点。粘液表皮样癌7例，肿瘤多呈浸润性生长，动脉期呈明显强化，静脉期减退；动脉期强化程度弱于腺淋巴瘤，强于多形性腺瘤；静脉期强化程度弱于基底细胞腺瘤，强于多形性腺瘤或相仿。恶性肿瘤（肉瘤样癌2例、腺样囊性癌2例、淋巴上皮癌2例、低分化癌2例、高分化鳞癌1例、肌上皮癌1例、未分化癌1例）等肿瘤呈浸润式生长，动脉期强化程度明显不均匀，静脉期强化减低，且恶性肿瘤边界模糊程度随肿瘤恶性程度的增高而加剧；腮腺淋巴瘤5例，呈边界清晰、均质强化改变，动脉期强化程度高于静脉期。</w:t>
      </w:r>
    </w:p>
    <w:p>
      <w:pPr>
        <w:spacing w:line="300" w:lineRule="auto"/>
        <w:rPr>
          <w:rFonts w:hint="eastAsia" w:ascii="宋体" w:hAnsi="宋体" w:eastAsia="宋体" w:cs="宋体"/>
          <w:sz w:val="24"/>
          <w:szCs w:val="24"/>
        </w:rPr>
      </w:pPr>
      <w:r>
        <w:rPr>
          <w:rFonts w:hint="eastAsia" w:ascii="宋体" w:hAnsi="宋体" w:eastAsia="宋体" w:cs="宋体"/>
          <w:b/>
          <w:sz w:val="24"/>
          <w:szCs w:val="24"/>
        </w:rPr>
        <w:t>结论</w:t>
      </w:r>
      <w:r>
        <w:rPr>
          <w:rFonts w:hint="eastAsia" w:ascii="宋体" w:hAnsi="宋体" w:eastAsia="宋体" w:cs="宋体"/>
          <w:sz w:val="24"/>
          <w:szCs w:val="24"/>
        </w:rPr>
        <w:t>：腮腺良恶性肿瘤增强CT具有一定的影像特点，多形性腺瘤、腺淋巴瘤、基底细胞腺瘤及腮腺淋巴瘤影像表现容易鉴别；恶性肿瘤容易判断，但具体定性非常困难，须完全依靠病理诊断。</w:t>
      </w:r>
    </w:p>
    <w:p>
      <w:pPr>
        <w:rPr>
          <w:rFonts w:hint="eastAsia" w:ascii="宋体" w:hAnsi="宋体" w:eastAsia="宋体" w:cs="宋体"/>
          <w:sz w:val="24"/>
          <w:szCs w:val="24"/>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line="300" w:lineRule="auto"/>
        <w:jc w:val="center"/>
        <w:rPr>
          <w:rFonts w:hint="eastAsia" w:ascii="宋体" w:hAnsi="宋体" w:eastAsia="宋体" w:cs="宋体"/>
          <w:sz w:val="24"/>
          <w:szCs w:val="24"/>
        </w:rPr>
      </w:pPr>
      <w:r>
        <w:rPr>
          <w:rFonts w:hint="eastAsia" w:ascii="宋体" w:hAnsi="宋体" w:eastAsia="宋体" w:cs="宋体"/>
          <w:sz w:val="24"/>
          <w:szCs w:val="24"/>
        </w:rPr>
        <w:t>能谱CT双能量扫描技术在肝癌TACE术后疗效评价中的应用价值</w:t>
      </w:r>
    </w:p>
    <w:p>
      <w:pPr>
        <w:spacing w:line="300" w:lineRule="auto"/>
        <w:jc w:val="center"/>
        <w:rPr>
          <w:rFonts w:hint="eastAsia" w:ascii="宋体" w:hAnsi="宋体" w:eastAsia="宋体" w:cs="宋体"/>
          <w:sz w:val="24"/>
          <w:szCs w:val="24"/>
        </w:rPr>
      </w:pPr>
      <w:r>
        <w:rPr>
          <w:rFonts w:hint="eastAsia" w:ascii="宋体" w:hAnsi="宋体" w:eastAsia="宋体" w:cs="宋体"/>
          <w:sz w:val="24"/>
          <w:szCs w:val="24"/>
        </w:rPr>
        <w:t>湖北省肿瘤医院</w:t>
      </w:r>
    </w:p>
    <w:p>
      <w:pPr>
        <w:spacing w:line="30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刘涛</w:t>
      </w:r>
    </w:p>
    <w:p>
      <w:pPr>
        <w:spacing w:line="300" w:lineRule="auto"/>
        <w:rPr>
          <w:rFonts w:hint="eastAsia" w:ascii="宋体" w:hAnsi="宋体" w:eastAsia="宋体" w:cs="宋体"/>
          <w:sz w:val="24"/>
          <w:szCs w:val="24"/>
        </w:rPr>
      </w:pPr>
      <w:r>
        <w:rPr>
          <w:rFonts w:hint="eastAsia" w:ascii="宋体" w:hAnsi="宋体" w:eastAsia="宋体" w:cs="宋体"/>
          <w:b/>
          <w:sz w:val="24"/>
          <w:szCs w:val="24"/>
        </w:rPr>
        <w:t xml:space="preserve">摘要 目的 </w:t>
      </w:r>
      <w:r>
        <w:rPr>
          <w:rFonts w:hint="eastAsia" w:ascii="宋体" w:hAnsi="宋体" w:eastAsia="宋体" w:cs="宋体"/>
          <w:sz w:val="24"/>
          <w:szCs w:val="24"/>
        </w:rPr>
        <w:t>探讨能谱CT双能量扫描技术在肝癌TACE术后疗效评估中的应用价值。</w:t>
      </w:r>
    </w:p>
    <w:p>
      <w:pPr>
        <w:spacing w:line="300" w:lineRule="auto"/>
        <w:rPr>
          <w:rFonts w:hint="eastAsia" w:ascii="宋体" w:hAnsi="宋体" w:eastAsia="宋体" w:cs="宋体"/>
          <w:sz w:val="24"/>
          <w:szCs w:val="24"/>
        </w:rPr>
      </w:pPr>
      <w:r>
        <w:rPr>
          <w:rFonts w:hint="eastAsia" w:ascii="宋体" w:hAnsi="宋体" w:eastAsia="宋体" w:cs="宋体"/>
          <w:b/>
          <w:sz w:val="24"/>
          <w:szCs w:val="24"/>
        </w:rPr>
        <w:t xml:space="preserve">方法 </w:t>
      </w:r>
      <w:r>
        <w:rPr>
          <w:rFonts w:hint="eastAsia" w:ascii="宋体" w:hAnsi="宋体" w:eastAsia="宋体" w:cs="宋体"/>
          <w:sz w:val="24"/>
          <w:szCs w:val="24"/>
        </w:rPr>
        <w:t>对100例肝癌患者在TACE术后6-8天分别行双能量CT扫描后，用双能量处理平台(Dual Energy)的单能谱软件(Monoenergetic)进行处理，分别得到80keV、90keV、100keV、110keV、120keV、130keV、140keV七组图像；由2名有经验的放射诊断医师对分别上述七组图像和普通120kV图像按照4分法进行图像质量评分。评分标准：1分为碘油周围硬化伪影严重，图像不能诊断；2分为碘油周围硬化伪影少许，图像尚可诊断；3分为碘油周围无明显硬化伪影，图像诊断顺利；4分为碘油周围无硬化伪影，图像质量优秀。采用Kruskal-Wallis检验分别对全部患者的图像质量评分进行统计学分析。</w:t>
      </w:r>
    </w:p>
    <w:p>
      <w:pPr>
        <w:spacing w:line="300" w:lineRule="auto"/>
        <w:rPr>
          <w:rFonts w:hint="eastAsia" w:ascii="宋体" w:hAnsi="宋体" w:eastAsia="宋体" w:cs="宋体"/>
          <w:sz w:val="24"/>
          <w:szCs w:val="24"/>
        </w:rPr>
      </w:pPr>
      <w:r>
        <w:rPr>
          <w:rFonts w:hint="eastAsia" w:ascii="宋体" w:hAnsi="宋体" w:eastAsia="宋体" w:cs="宋体"/>
          <w:b/>
          <w:sz w:val="24"/>
          <w:szCs w:val="24"/>
        </w:rPr>
        <w:t xml:space="preserve">结果 </w:t>
      </w:r>
      <w:r>
        <w:rPr>
          <w:rFonts w:hint="eastAsia" w:ascii="宋体" w:hAnsi="宋体" w:eastAsia="宋体" w:cs="宋体"/>
          <w:sz w:val="24"/>
          <w:szCs w:val="24"/>
        </w:rPr>
        <w:t>对全部患者的图像质量评分中，83个患者的单能谱CT图像质量得3分或4分(83%)，17个患者的120kV图像质量得3分或4分(17%)，两种图像质量差异有统计学意义（P值＜0.01）,能谱CT的双能量扫描技术改善了肝癌TACE术后CT检查的图像质量。</w:t>
      </w:r>
    </w:p>
    <w:p>
      <w:pPr>
        <w:spacing w:line="300" w:lineRule="auto"/>
        <w:rPr>
          <w:rFonts w:hint="eastAsia" w:ascii="宋体" w:hAnsi="宋体" w:eastAsia="宋体" w:cs="宋体"/>
          <w:sz w:val="24"/>
          <w:szCs w:val="24"/>
        </w:rPr>
      </w:pPr>
      <w:r>
        <w:rPr>
          <w:rFonts w:hint="eastAsia" w:ascii="宋体" w:hAnsi="宋体" w:eastAsia="宋体" w:cs="宋体"/>
          <w:b/>
          <w:sz w:val="24"/>
          <w:szCs w:val="24"/>
        </w:rPr>
        <w:t>结论</w:t>
      </w:r>
      <w:r>
        <w:rPr>
          <w:rFonts w:hint="eastAsia" w:ascii="宋体" w:hAnsi="宋体" w:eastAsia="宋体" w:cs="宋体"/>
          <w:sz w:val="24"/>
          <w:szCs w:val="24"/>
        </w:rPr>
        <w:t xml:space="preserve"> 能谱CT双能量扫描技术能有效的减少了肝癌TACE术后碘油周围的硬化伪影，提高了图像质量，有助于肝癌TACE术后疗效的评价。</w:t>
      </w:r>
    </w:p>
    <w:p>
      <w:pPr>
        <w:spacing w:line="300" w:lineRule="auto"/>
        <w:rPr>
          <w:rFonts w:hint="eastAsia" w:ascii="宋体" w:hAnsi="宋体" w:eastAsia="宋体" w:cs="宋体"/>
          <w:b/>
          <w:bCs/>
          <w:sz w:val="24"/>
          <w:szCs w:val="24"/>
        </w:rPr>
      </w:pPr>
      <w:r>
        <w:rPr>
          <w:rFonts w:hint="eastAsia" w:ascii="宋体" w:hAnsi="宋体" w:eastAsia="宋体" w:cs="宋体"/>
          <w:b/>
          <w:bCs/>
          <w:sz w:val="24"/>
          <w:szCs w:val="24"/>
        </w:rPr>
        <w:t>关键词 ：能谱CT  双能量   TACE  肝癌</w:t>
      </w:r>
    </w:p>
    <w:p>
      <w:pPr>
        <w:spacing w:line="300" w:lineRule="auto"/>
        <w:rPr>
          <w:rFonts w:hint="eastAsia" w:ascii="宋体" w:hAnsi="宋体" w:eastAsia="宋体" w:cs="宋体"/>
          <w:b/>
          <w:bCs/>
          <w:sz w:val="24"/>
          <w:szCs w:val="24"/>
        </w:rPr>
      </w:pPr>
    </w:p>
    <w:p>
      <w:pPr>
        <w:spacing w:line="300" w:lineRule="auto"/>
        <w:rPr>
          <w:rFonts w:hint="eastAsia" w:ascii="宋体" w:hAnsi="宋体" w:eastAsia="宋体" w:cs="宋体"/>
          <w:b/>
          <w:bCs/>
          <w:sz w:val="24"/>
          <w:szCs w:val="24"/>
        </w:rPr>
      </w:pPr>
    </w:p>
    <w:p>
      <w:pPr>
        <w:spacing w:line="300" w:lineRule="auto"/>
        <w:rPr>
          <w:rFonts w:hint="eastAsia" w:ascii="宋体" w:hAnsi="宋体" w:eastAsia="宋体" w:cs="宋体"/>
          <w:b/>
          <w:bCs/>
          <w:sz w:val="24"/>
          <w:szCs w:val="24"/>
        </w:rPr>
      </w:pPr>
    </w:p>
    <w:p>
      <w:pPr>
        <w:spacing w:line="300" w:lineRule="auto"/>
        <w:rPr>
          <w:rFonts w:hint="eastAsia" w:ascii="宋体" w:hAnsi="宋体" w:eastAsia="宋体" w:cs="宋体"/>
          <w:b/>
          <w:bCs/>
          <w:sz w:val="24"/>
          <w:szCs w:val="24"/>
        </w:rPr>
      </w:pPr>
    </w:p>
    <w:p>
      <w:pPr>
        <w:spacing w:line="300" w:lineRule="auto"/>
        <w:rPr>
          <w:rFonts w:hint="eastAsia" w:ascii="宋体" w:hAnsi="宋体" w:eastAsia="宋体" w:cs="宋体"/>
          <w:b/>
          <w:bCs/>
          <w:sz w:val="24"/>
          <w:szCs w:val="24"/>
        </w:rPr>
      </w:pPr>
    </w:p>
    <w:p>
      <w:pPr>
        <w:spacing w:line="300" w:lineRule="auto"/>
        <w:rPr>
          <w:rFonts w:hint="eastAsia" w:ascii="宋体" w:hAnsi="宋体" w:eastAsia="宋体" w:cs="宋体"/>
          <w:b/>
          <w:bCs/>
          <w:sz w:val="24"/>
          <w:szCs w:val="24"/>
        </w:rPr>
      </w:pPr>
    </w:p>
    <w:p>
      <w:pPr>
        <w:spacing w:line="300" w:lineRule="auto"/>
        <w:rPr>
          <w:rFonts w:hint="eastAsia" w:ascii="宋体" w:hAnsi="宋体" w:eastAsia="宋体" w:cs="宋体"/>
          <w:b/>
          <w:bCs/>
          <w:sz w:val="24"/>
          <w:szCs w:val="24"/>
        </w:rPr>
      </w:pPr>
    </w:p>
    <w:p>
      <w:pPr>
        <w:spacing w:line="300" w:lineRule="auto"/>
        <w:rPr>
          <w:rFonts w:hint="eastAsia" w:ascii="宋体" w:hAnsi="宋体" w:eastAsia="宋体" w:cs="宋体"/>
          <w:b/>
          <w:bCs/>
          <w:sz w:val="24"/>
          <w:szCs w:val="24"/>
        </w:rPr>
      </w:pPr>
    </w:p>
    <w:p>
      <w:pPr>
        <w:spacing w:line="300" w:lineRule="auto"/>
        <w:rPr>
          <w:rFonts w:hint="eastAsia" w:ascii="宋体" w:hAnsi="宋体" w:eastAsia="宋体" w:cs="宋体"/>
          <w:b/>
          <w:bCs/>
          <w:sz w:val="24"/>
          <w:szCs w:val="24"/>
        </w:rPr>
      </w:pPr>
    </w:p>
    <w:p>
      <w:pPr>
        <w:spacing w:line="300" w:lineRule="auto"/>
        <w:rPr>
          <w:rFonts w:hint="eastAsia" w:ascii="宋体" w:hAnsi="宋体" w:eastAsia="宋体" w:cs="宋体"/>
          <w:b/>
          <w:bCs/>
          <w:sz w:val="24"/>
          <w:szCs w:val="24"/>
        </w:rPr>
      </w:pPr>
    </w:p>
    <w:p>
      <w:pPr>
        <w:spacing w:line="300" w:lineRule="auto"/>
        <w:rPr>
          <w:rFonts w:hint="eastAsia" w:ascii="宋体" w:hAnsi="宋体" w:eastAsia="宋体" w:cs="宋体"/>
          <w:b/>
          <w:bCs/>
          <w:sz w:val="24"/>
          <w:szCs w:val="24"/>
        </w:rPr>
      </w:pPr>
    </w:p>
    <w:p>
      <w:pPr>
        <w:spacing w:line="300" w:lineRule="auto"/>
        <w:rPr>
          <w:rFonts w:hint="eastAsia" w:ascii="宋体" w:hAnsi="宋体" w:eastAsia="宋体" w:cs="宋体"/>
          <w:b/>
          <w:bCs/>
          <w:sz w:val="24"/>
          <w:szCs w:val="24"/>
        </w:rPr>
      </w:pPr>
    </w:p>
    <w:p>
      <w:pPr>
        <w:spacing w:line="300" w:lineRule="auto"/>
        <w:rPr>
          <w:rFonts w:hint="eastAsia" w:ascii="宋体" w:hAnsi="宋体" w:eastAsia="宋体" w:cs="宋体"/>
          <w:b/>
          <w:bCs/>
          <w:sz w:val="24"/>
          <w:szCs w:val="24"/>
        </w:rPr>
      </w:pPr>
    </w:p>
    <w:p>
      <w:pPr>
        <w:spacing w:line="300" w:lineRule="auto"/>
        <w:rPr>
          <w:rFonts w:hint="eastAsia" w:ascii="宋体" w:hAnsi="宋体" w:eastAsia="宋体" w:cs="宋体"/>
          <w:b/>
          <w:bCs/>
          <w:sz w:val="24"/>
          <w:szCs w:val="24"/>
        </w:rPr>
      </w:pPr>
    </w:p>
    <w:p>
      <w:pPr>
        <w:spacing w:beforeLines="0" w:afterLines="0"/>
        <w:jc w:val="left"/>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基于LI-RADS v2018原则CT及MRI对肝脏肿瘤的诊断价值</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湖北省肿瘤医院</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李珊玫</w:t>
      </w:r>
    </w:p>
    <w:p>
      <w:pPr>
        <w:spacing w:line="360" w:lineRule="auto"/>
        <w:jc w:val="left"/>
        <w:rPr>
          <w:rFonts w:hint="eastAsia" w:ascii="宋体" w:hAnsi="宋体" w:eastAsia="宋体" w:cs="宋体"/>
          <w:color w:val="000000"/>
          <w:sz w:val="24"/>
          <w:szCs w:val="24"/>
        </w:rPr>
      </w:pPr>
      <w:r>
        <w:rPr>
          <w:rFonts w:hint="eastAsia" w:ascii="宋体" w:hAnsi="宋体" w:eastAsia="宋体" w:cs="宋体"/>
          <w:b/>
          <w:bCs/>
          <w:color w:val="000000"/>
          <w:sz w:val="24"/>
          <w:szCs w:val="24"/>
        </w:rPr>
        <w:t>【摘要】目的</w:t>
      </w:r>
      <w:r>
        <w:rPr>
          <w:rFonts w:hint="eastAsia" w:ascii="宋体" w:hAnsi="宋体" w:eastAsia="宋体" w:cs="宋体"/>
          <w:color w:val="000000"/>
          <w:sz w:val="24"/>
          <w:szCs w:val="24"/>
        </w:rPr>
        <w:t xml:space="preserve"> 探讨2018版肝脏影像与报告系统（</w:t>
      </w:r>
      <w:r>
        <w:rPr>
          <w:rFonts w:hint="eastAsia" w:ascii="宋体" w:hAnsi="宋体" w:eastAsia="宋体" w:cs="宋体"/>
          <w:sz w:val="24"/>
          <w:szCs w:val="24"/>
        </w:rPr>
        <w:t>liver imaging and reporting system，</w:t>
      </w:r>
      <w:r>
        <w:rPr>
          <w:rFonts w:hint="eastAsia" w:ascii="宋体" w:hAnsi="宋体" w:eastAsia="宋体" w:cs="宋体"/>
          <w:color w:val="000000"/>
          <w:sz w:val="24"/>
          <w:szCs w:val="24"/>
        </w:rPr>
        <w:t>LI-RADS）在CT及MRI诊断肝脏肿瘤中的应用价值。</w:t>
      </w:r>
      <w:r>
        <w:rPr>
          <w:rFonts w:hint="eastAsia" w:ascii="宋体" w:hAnsi="宋体" w:eastAsia="宋体" w:cs="宋体"/>
          <w:b/>
          <w:bCs/>
          <w:color w:val="000000"/>
          <w:sz w:val="24"/>
          <w:szCs w:val="24"/>
        </w:rPr>
        <w:t>方法</w:t>
      </w:r>
      <w:r>
        <w:rPr>
          <w:rFonts w:hint="eastAsia" w:ascii="宋体" w:hAnsi="宋体" w:eastAsia="宋体" w:cs="宋体"/>
          <w:color w:val="000000"/>
          <w:sz w:val="24"/>
          <w:szCs w:val="24"/>
        </w:rPr>
        <w:t xml:space="preserve"> 收集符合LI-RADS v2018纳入原则肝脏肿瘤患者的影像学及临床资料，所有患者在治疗前行CT及MRI检查，由两名诊断者分别对病灶的CT及MRI扫描结果行LI-RADS分级，第三位诊断者先后对病灶的CT及MRI行LI-RADS分级，统计各征象在CT及MRI出现频率，分别判断CT组、MRI组及CT与MRI组的LI-RADS分级，应用Kappa检验行一致性分析，结合病理计算三组诊断的准确性。</w:t>
      </w:r>
      <w:r>
        <w:rPr>
          <w:rFonts w:hint="eastAsia" w:ascii="宋体" w:hAnsi="宋体" w:eastAsia="宋体" w:cs="宋体"/>
          <w:b/>
          <w:bCs/>
          <w:color w:val="000000"/>
          <w:sz w:val="24"/>
          <w:szCs w:val="24"/>
        </w:rPr>
        <w:t>结果</w:t>
      </w:r>
      <w:r>
        <w:rPr>
          <w:rFonts w:hint="eastAsia" w:ascii="宋体" w:hAnsi="宋体" w:eastAsia="宋体" w:cs="宋体"/>
          <w:color w:val="000000"/>
          <w:sz w:val="24"/>
          <w:szCs w:val="24"/>
        </w:rPr>
        <w:t xml:space="preserve">  93例患者共检出93个病灶（72个肝癌、11个胆管细胞癌、4个混合型肝癌胆管细胞癌、2个炎性假瘤及硬化结节和1个FNH及血管瘤），MRI组诊断肝脏肿瘤的一致性高于CT组及CT与MRI组，K值分别为0.92、0.87、0.84；CT与MRI组的诊断准确性高于MRI组及CT组，分别为</w:t>
      </w:r>
      <w:r>
        <w:rPr>
          <w:rFonts w:hint="eastAsia" w:ascii="宋体" w:hAnsi="宋体" w:eastAsia="宋体" w:cs="宋体"/>
          <w:color w:val="000000"/>
          <w:kern w:val="0"/>
          <w:sz w:val="24"/>
          <w:szCs w:val="24"/>
          <w:lang w:bidi="ar"/>
        </w:rPr>
        <w:t>98.89%、97.78%、91.11%；MRI组对廓清、包膜及次要征象的显示明显优于CT组，而CT组对动脉强化显示稍优于MRI组。</w:t>
      </w:r>
      <w:r>
        <w:rPr>
          <w:rFonts w:hint="eastAsia" w:ascii="宋体" w:hAnsi="宋体" w:eastAsia="宋体" w:cs="宋体"/>
          <w:b/>
          <w:bCs/>
          <w:color w:val="000000"/>
          <w:sz w:val="24"/>
          <w:szCs w:val="24"/>
        </w:rPr>
        <w:t>结论</w:t>
      </w:r>
      <w:r>
        <w:rPr>
          <w:rFonts w:hint="eastAsia" w:ascii="宋体" w:hAnsi="宋体" w:eastAsia="宋体" w:cs="宋体"/>
          <w:color w:val="000000"/>
          <w:sz w:val="24"/>
          <w:szCs w:val="24"/>
        </w:rPr>
        <w:t xml:space="preserve">  基于临床的最新反馈及一定的影像诊断经验，LI-RADS v2018系统化、标准化肝脏肿瘤的影像学特征并分级，对诊断具有极好一致性及较高的准确性。</w:t>
      </w:r>
    </w:p>
    <w:p>
      <w:pPr>
        <w:spacing w:line="360" w:lineRule="auto"/>
        <w:ind w:firstLine="482" w:firstLineChars="200"/>
        <w:jc w:val="left"/>
        <w:rPr>
          <w:rFonts w:hint="eastAsia" w:ascii="宋体" w:hAnsi="宋体" w:eastAsia="宋体" w:cs="宋体"/>
          <w:color w:val="000000"/>
          <w:sz w:val="24"/>
          <w:szCs w:val="24"/>
        </w:rPr>
      </w:pPr>
      <w:r>
        <w:rPr>
          <w:rFonts w:hint="eastAsia" w:ascii="宋体" w:hAnsi="宋体" w:eastAsia="宋体" w:cs="宋体"/>
          <w:b/>
          <w:bCs/>
          <w:color w:val="000000"/>
          <w:sz w:val="24"/>
          <w:szCs w:val="24"/>
        </w:rPr>
        <w:t xml:space="preserve">【关键词】 </w:t>
      </w:r>
      <w:r>
        <w:rPr>
          <w:rFonts w:hint="eastAsia" w:ascii="宋体" w:hAnsi="宋体" w:eastAsia="宋体" w:cs="宋体"/>
          <w:color w:val="000000"/>
          <w:sz w:val="24"/>
          <w:szCs w:val="24"/>
        </w:rPr>
        <w:t xml:space="preserve">肝脏影像报告系统；肝肿瘤；X线计算机；磁共振成像 </w:t>
      </w:r>
    </w:p>
    <w:p>
      <w:pPr>
        <w:rPr>
          <w:rFonts w:hint="eastAsia" w:ascii="宋体" w:hAnsi="宋体" w:eastAsia="宋体" w:cs="宋体"/>
          <w:sz w:val="24"/>
          <w:szCs w:val="24"/>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基于CT平扫图像的影像组学模型对甲状腺良恶性结节的鉴别价值</w:t>
      </w:r>
    </w:p>
    <w:p>
      <w:pPr>
        <w:jc w:val="center"/>
        <w:rPr>
          <w:rFonts w:hint="eastAsia" w:ascii="宋体" w:hAnsi="宋体" w:eastAsia="宋体" w:cs="宋体"/>
          <w:color w:val="000000"/>
          <w:sz w:val="24"/>
          <w:szCs w:val="24"/>
          <w:shd w:val="clear" w:color="auto" w:fill="FFFFFF"/>
        </w:rPr>
      </w:pPr>
      <w:r>
        <w:rPr>
          <w:rFonts w:hint="eastAsia" w:ascii="宋体" w:hAnsi="宋体" w:eastAsia="宋体" w:cs="宋体"/>
          <w:sz w:val="24"/>
          <w:szCs w:val="24"/>
        </w:rPr>
        <w:t>刘丹</w:t>
      </w:r>
      <w:r>
        <w:rPr>
          <w:rFonts w:hint="eastAsia" w:ascii="宋体" w:hAnsi="宋体" w:eastAsia="宋体" w:cs="宋体"/>
          <w:sz w:val="24"/>
          <w:szCs w:val="24"/>
          <w:vertAlign w:val="superscript"/>
        </w:rPr>
        <w:t>1</w:t>
      </w:r>
      <w:r>
        <w:rPr>
          <w:rFonts w:hint="eastAsia" w:ascii="宋体" w:hAnsi="宋体" w:eastAsia="宋体" w:cs="宋体"/>
          <w:sz w:val="24"/>
          <w:szCs w:val="24"/>
        </w:rPr>
        <w:t>，游涛</w:t>
      </w:r>
      <w:r>
        <w:rPr>
          <w:rFonts w:hint="eastAsia" w:ascii="宋体" w:hAnsi="宋体" w:eastAsia="宋体" w:cs="宋体"/>
          <w:sz w:val="24"/>
          <w:szCs w:val="24"/>
          <w:vertAlign w:val="superscript"/>
        </w:rPr>
        <w:t>2</w:t>
      </w:r>
    </w:p>
    <w:p>
      <w:pPr>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1湖北省肿瘤医院</w:t>
      </w:r>
    </w:p>
    <w:p>
      <w:pPr>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2中国人民解放军中部战区总医院</w:t>
      </w:r>
    </w:p>
    <w:p>
      <w:pPr>
        <w:rPr>
          <w:rFonts w:hint="eastAsia" w:ascii="宋体" w:hAnsi="宋体" w:eastAsia="宋体" w:cs="宋体"/>
          <w:color w:val="000000"/>
          <w:sz w:val="24"/>
          <w:szCs w:val="24"/>
          <w:shd w:val="clear" w:color="auto" w:fill="FFFFFF"/>
        </w:rPr>
      </w:pPr>
    </w:p>
    <w:p>
      <w:pPr>
        <w:rPr>
          <w:rFonts w:hint="eastAsia" w:ascii="宋体" w:hAnsi="宋体" w:eastAsia="宋体" w:cs="宋体"/>
          <w:kern w:val="0"/>
          <w:sz w:val="24"/>
          <w:szCs w:val="24"/>
        </w:rPr>
      </w:pPr>
      <w:r>
        <w:rPr>
          <w:rFonts w:hint="eastAsia" w:ascii="宋体" w:hAnsi="宋体" w:eastAsia="宋体" w:cs="宋体"/>
          <w:b/>
          <w:bCs/>
          <w:kern w:val="0"/>
          <w:sz w:val="24"/>
          <w:szCs w:val="24"/>
        </w:rPr>
        <w:t>目的</w:t>
      </w:r>
      <w:r>
        <w:rPr>
          <w:rFonts w:hint="eastAsia" w:ascii="宋体" w:hAnsi="宋体" w:eastAsia="宋体" w:cs="宋体"/>
          <w:kern w:val="0"/>
          <w:sz w:val="24"/>
          <w:szCs w:val="24"/>
        </w:rPr>
        <w:t>：探讨基于CT平扫图像的影像组学模型鉴别甲状腺良恶性结节的诊断价值。</w:t>
      </w:r>
    </w:p>
    <w:p>
      <w:pPr>
        <w:rPr>
          <w:rFonts w:hint="eastAsia" w:ascii="宋体" w:hAnsi="宋体" w:eastAsia="宋体" w:cs="宋体"/>
          <w:kern w:val="0"/>
          <w:sz w:val="24"/>
          <w:szCs w:val="24"/>
        </w:rPr>
      </w:pPr>
      <w:r>
        <w:rPr>
          <w:rFonts w:hint="eastAsia" w:ascii="宋体" w:hAnsi="宋体" w:eastAsia="宋体" w:cs="宋体"/>
          <w:b/>
          <w:bCs/>
          <w:kern w:val="0"/>
          <w:sz w:val="24"/>
          <w:szCs w:val="24"/>
        </w:rPr>
        <w:t>方法</w:t>
      </w:r>
      <w:r>
        <w:rPr>
          <w:rFonts w:hint="eastAsia" w:ascii="宋体" w:hAnsi="宋体" w:eastAsia="宋体" w:cs="宋体"/>
          <w:kern w:val="0"/>
          <w:sz w:val="24"/>
          <w:szCs w:val="24"/>
        </w:rPr>
        <w:t>：回顾性分析2016年1月-2020年10月间我院经甲状腺手术且病理证实的666例甲状腺结节患者的临床和影像学资料。其中良性结节398例，恶性结节268例，患者术前均行甲状腺结节CT平扫扫描。采用随机抽样方法将患者按照7∶3的比例分为训练组（465例）与测试组（201例），采用3D Slicer软件对甲状腺整体进行逐层勾勒，合成三维感兴趣区（region of interest，ROI）；应用PyCharm 软件进行特征提取，共提取1302个特征参数；使用R软件进行数据处理，将数据进行z-score标准化处理；将训练组数据进行t检验，p＜0.05有统计学差异，筛选出127个具有较好泛化能力的特征参数；通过Lasso回归、十折交叉验证将127个特征进行筛选，得出16个特征参数；用筛选出的16个特征参数建立logistic回归模型，分别得到训练组和验证组的ROC曲线和曲线下面积AUC；同时生成混淆矩阵，分别计算出训练组和验证组的敏感度和特异度；利用16个特征参数对应的系数计算出验证组各病例对应的影像组学评分。</w:t>
      </w:r>
    </w:p>
    <w:p>
      <w:pP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b/>
          <w:bCs/>
          <w:kern w:val="0"/>
          <w:sz w:val="24"/>
          <w:szCs w:val="24"/>
        </w:rPr>
        <w:t>结果</w:t>
      </w:r>
      <w:r>
        <w:rPr>
          <w:rFonts w:hint="eastAsia" w:ascii="宋体" w:hAnsi="宋体" w:eastAsia="宋体" w:cs="宋体"/>
          <w:kern w:val="0"/>
          <w:sz w:val="24"/>
          <w:szCs w:val="24"/>
        </w:rPr>
        <w:t>：</w:t>
      </w:r>
      <w:r>
        <w:rPr>
          <w:rFonts w:hint="eastAsia" w:ascii="宋体" w:hAnsi="宋体" w:eastAsia="宋体" w:cs="宋体"/>
          <w:color w:val="000000" w:themeColor="text1"/>
          <w:kern w:val="0"/>
          <w:sz w:val="24"/>
          <w:szCs w:val="24"/>
          <w14:textFill>
            <w14:solidFill>
              <w14:schemeClr w14:val="tx1"/>
            </w14:solidFill>
          </w14:textFill>
        </w:rPr>
        <w:t>训练组中预测模型的ROC曲线下面积（AUC）为0.986（95%可信区间：0.953~0.973），灵敏度和特异度分别为96.04%、95.19%，诊断准确率95.7%；测试组中AUC为0.983（95%可信区间：0.933~0.975），灵敏度和特异度分别为95.83%、93.83%，诊断准确率95.05%。影像组学评分</w:t>
      </w:r>
      <w:r>
        <w:rPr>
          <w:rFonts w:hint="eastAsia" w:ascii="宋体" w:hAnsi="宋体" w:eastAsia="宋体" w:cs="宋体"/>
          <w:kern w:val="0"/>
          <w:sz w:val="24"/>
          <w:szCs w:val="24"/>
        </w:rPr>
        <w:t>提示模型预测结果与病理结</w:t>
      </w:r>
      <w:r>
        <w:rPr>
          <w:rFonts w:hint="eastAsia" w:ascii="宋体" w:hAnsi="宋体" w:eastAsia="宋体" w:cs="宋体"/>
          <w:color w:val="000000" w:themeColor="text1"/>
          <w:kern w:val="0"/>
          <w:sz w:val="24"/>
          <w:szCs w:val="24"/>
          <w14:textFill>
            <w14:solidFill>
              <w14:schemeClr w14:val="tx1"/>
            </w14:solidFill>
          </w14:textFill>
        </w:rPr>
        <w:t>果一致性较好。</w:t>
      </w:r>
    </w:p>
    <w:p>
      <w:pP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结论</w:t>
      </w:r>
      <w:r>
        <w:rPr>
          <w:rFonts w:hint="eastAsia" w:ascii="宋体" w:hAnsi="宋体" w:eastAsia="宋体" w:cs="宋体"/>
          <w:color w:val="000000" w:themeColor="text1"/>
          <w:kern w:val="0"/>
          <w:sz w:val="24"/>
          <w:szCs w:val="24"/>
          <w14:textFill>
            <w14:solidFill>
              <w14:schemeClr w14:val="tx1"/>
            </w14:solidFill>
          </w14:textFill>
        </w:rPr>
        <w:t>：基于CT平扫图像的影像组学模型对鉴别甲状腺良恶性结节具有较高的诊断效能。</w:t>
      </w: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i w:val="0"/>
          <w:caps w:val="0"/>
          <w:color w:val="333333"/>
          <w:spacing w:val="0"/>
          <w:sz w:val="24"/>
          <w:szCs w:val="24"/>
          <w:shd w:val="clear" w:fill="FFFFFF"/>
        </w:rPr>
        <w:t>基于CT和MRI的影像组学在肝癌诊疗中的研究现状</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i w:val="0"/>
          <w:caps w:val="0"/>
          <w:color w:val="333333"/>
          <w:spacing w:val="0"/>
          <w:sz w:val="24"/>
          <w:szCs w:val="24"/>
          <w:shd w:val="clear" w:fill="FFFFFF"/>
          <w:lang w:val="en-US" w:eastAsia="zh-CN"/>
        </w:rPr>
        <w:t xml:space="preserve"> </w:t>
      </w:r>
      <w:r>
        <w:rPr>
          <w:rFonts w:hint="eastAsia" w:ascii="宋体" w:hAnsi="宋体" w:eastAsia="宋体" w:cs="宋体"/>
          <w:b/>
          <w:i w:val="0"/>
          <w:caps w:val="0"/>
          <w:color w:val="333333"/>
          <w:spacing w:val="0"/>
          <w:sz w:val="24"/>
          <w:szCs w:val="24"/>
          <w:shd w:val="clear" w:fill="FFFFFF"/>
        </w:rPr>
        <w:t>潘晗 , 陈长春 </w:t>
      </w:r>
      <w:r>
        <w:rPr>
          <w:rFonts w:hint="eastAsia" w:ascii="宋体" w:hAnsi="宋体" w:eastAsia="宋体" w:cs="宋体"/>
          <w:b/>
          <w:i w:val="0"/>
          <w:caps w:val="0"/>
          <w:color w:val="333333"/>
          <w:spacing w:val="0"/>
          <w:sz w:val="24"/>
          <w:szCs w:val="24"/>
          <w:shd w:val="clear" w:fill="FFFFFF"/>
          <w:vertAlign w:val="superscript"/>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i w:val="0"/>
          <w:caps w:val="0"/>
          <w:color w:val="333333"/>
          <w:spacing w:val="0"/>
          <w:sz w:val="24"/>
          <w:szCs w:val="24"/>
          <w:shd w:val="clear" w:fill="FFFFFF"/>
        </w:rPr>
        <w:t>湖北省肿瘤医院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60000"/>
          <w:spacing w:val="0"/>
          <w:kern w:val="0"/>
          <w:sz w:val="24"/>
          <w:szCs w:val="24"/>
          <w:shd w:val="clear" w:fill="FFFFFF"/>
          <w:lang w:val="en-US" w:eastAsia="zh-CN" w:bidi="ar"/>
        </w:rPr>
        <w:t>目的：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eastAsia" w:ascii="宋体" w:hAnsi="宋体" w:eastAsia="宋体" w:cs="宋体"/>
          <w:sz w:val="24"/>
          <w:szCs w:val="24"/>
        </w:rPr>
      </w:pPr>
      <w:r>
        <w:rPr>
          <w:rFonts w:hint="eastAsia" w:ascii="宋体" w:hAnsi="宋体" w:eastAsia="宋体" w:cs="宋体"/>
          <w:i w:val="0"/>
          <w:caps w:val="0"/>
          <w:color w:val="333333"/>
          <w:spacing w:val="0"/>
          <w:sz w:val="24"/>
          <w:szCs w:val="24"/>
          <w:shd w:val="clear" w:fill="FFFFFF"/>
        </w:rPr>
        <w:t>放射组学是借助信息化技术，从医学影像图像挖掘筛选出最有价值的特征，转化为高维度的影像定量特征数据，能够获取与肿瘤状况相关的全面信息的技术。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eastAsia" w:ascii="宋体" w:hAnsi="宋体" w:eastAsia="宋体" w:cs="宋体"/>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60000"/>
          <w:spacing w:val="0"/>
          <w:kern w:val="0"/>
          <w:sz w:val="24"/>
          <w:szCs w:val="24"/>
          <w:shd w:val="clear" w:fill="FFFFFF"/>
          <w:lang w:val="en-US" w:eastAsia="zh-CN" w:bidi="ar"/>
        </w:rPr>
        <w:t>方法：</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eastAsia" w:ascii="宋体" w:hAnsi="宋体" w:eastAsia="宋体" w:cs="宋体"/>
          <w:sz w:val="24"/>
          <w:szCs w:val="24"/>
        </w:rPr>
      </w:pPr>
      <w:r>
        <w:rPr>
          <w:rFonts w:hint="eastAsia" w:ascii="宋体" w:hAnsi="宋体" w:eastAsia="宋体" w:cs="宋体"/>
          <w:i w:val="0"/>
          <w:caps w:val="0"/>
          <w:color w:val="333333"/>
          <w:spacing w:val="0"/>
          <w:sz w:val="24"/>
          <w:szCs w:val="24"/>
          <w:shd w:val="clear" w:fill="FFFFFF"/>
        </w:rPr>
        <w:t>放射组学在肝脏肿瘤诊疗方面的研究进展涉及诊断、分级、肿瘤生物学标记的检测、预测疗效和预后评估，指导临床决策。它的基本程序包括图像采集，感兴趣区分割和重建，特征提取、筛选和分类以及模型构建和性能评估</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eastAsia" w:ascii="宋体" w:hAnsi="宋体" w:eastAsia="宋体" w:cs="宋体"/>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60000"/>
          <w:spacing w:val="0"/>
          <w:kern w:val="0"/>
          <w:sz w:val="24"/>
          <w:szCs w:val="24"/>
          <w:shd w:val="clear" w:fill="FFFFFF"/>
          <w:lang w:val="en-US" w:eastAsia="zh-CN" w:bidi="ar"/>
        </w:rPr>
        <w:t>结果：</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eastAsia" w:ascii="宋体" w:hAnsi="宋体" w:eastAsia="宋体" w:cs="宋体"/>
          <w:sz w:val="24"/>
          <w:szCs w:val="24"/>
        </w:rPr>
      </w:pPr>
      <w:r>
        <w:rPr>
          <w:rFonts w:hint="eastAsia" w:ascii="宋体" w:hAnsi="宋体" w:eastAsia="宋体" w:cs="宋体"/>
          <w:i w:val="0"/>
          <w:caps w:val="0"/>
          <w:color w:val="333333"/>
          <w:spacing w:val="0"/>
          <w:sz w:val="24"/>
          <w:szCs w:val="24"/>
          <w:shd w:val="clear" w:fill="FFFFFF"/>
        </w:rPr>
        <w:t>虽然影像组学目前仍处于研究阶段，但组学特征和预测模型与某些肿瘤生物学行为、分子标志物或患者预后有密切联系，可为优化治疗策略和患者个体化精准治疗提供信息，有巨大的临床应用潜力</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eastAsia" w:ascii="宋体" w:hAnsi="宋体" w:eastAsia="宋体" w:cs="宋体"/>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60000"/>
          <w:spacing w:val="0"/>
          <w:kern w:val="0"/>
          <w:sz w:val="24"/>
          <w:szCs w:val="24"/>
          <w:shd w:val="clear" w:fill="FFFFFF"/>
          <w:lang w:val="en-US" w:eastAsia="zh-CN" w:bidi="ar"/>
        </w:rPr>
        <w:t>结论：</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eastAsia" w:ascii="宋体" w:hAnsi="宋体" w:eastAsia="宋体" w:cs="宋体"/>
          <w:sz w:val="24"/>
          <w:szCs w:val="24"/>
        </w:rPr>
      </w:pPr>
      <w:r>
        <w:rPr>
          <w:rFonts w:hint="eastAsia" w:ascii="宋体" w:hAnsi="宋体" w:eastAsia="宋体" w:cs="宋体"/>
          <w:i w:val="0"/>
          <w:caps w:val="0"/>
          <w:color w:val="333333"/>
          <w:spacing w:val="0"/>
          <w:sz w:val="24"/>
          <w:szCs w:val="24"/>
          <w:shd w:val="clear" w:fill="FFFFFF"/>
        </w:rPr>
        <w:t>放射组学在肝脏肿瘤诊疗方面的研究进展涉及诊断、分级、肿瘤生物学标记的检测、预测疗效和预后评估，指导临床决策。</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eastAsia" w:ascii="宋体" w:hAnsi="宋体" w:eastAsia="宋体" w:cs="宋体"/>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60000"/>
          <w:spacing w:val="0"/>
          <w:sz w:val="24"/>
          <w:szCs w:val="24"/>
          <w:shd w:val="clear" w:fill="FFFFFF"/>
        </w:rPr>
        <w:t>关键字：</w:t>
      </w:r>
      <w:r>
        <w:rPr>
          <w:rFonts w:hint="eastAsia" w:ascii="宋体" w:hAnsi="宋体" w:eastAsia="宋体" w:cs="宋体"/>
          <w:i w:val="0"/>
          <w:caps w:val="0"/>
          <w:color w:val="333333"/>
          <w:spacing w:val="0"/>
          <w:sz w:val="24"/>
          <w:szCs w:val="24"/>
          <w:shd w:val="clear" w:fill="FFFFFF"/>
        </w:rPr>
        <w:t>放射组学；肝癌；诊断；生物学标记；预后</w:t>
      </w:r>
    </w:p>
    <w:p>
      <w:pPr>
        <w:rPr>
          <w:rFonts w:hint="eastAsia" w:ascii="宋体" w:hAnsi="宋体" w:eastAsia="宋体" w:cs="宋体"/>
          <w:sz w:val="24"/>
          <w:szCs w:val="24"/>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jc w:val="center"/>
        <w:rPr>
          <w:rFonts w:hint="eastAsia" w:ascii="宋体" w:hAnsi="宋体" w:eastAsia="宋体" w:cs="宋体"/>
          <w:b/>
          <w:bCs/>
          <w:sz w:val="24"/>
          <w:szCs w:val="24"/>
        </w:rPr>
      </w:pPr>
      <w:r>
        <w:rPr>
          <w:rFonts w:hint="eastAsia" w:ascii="宋体" w:hAnsi="宋体" w:eastAsia="宋体" w:cs="宋体"/>
          <w:b/>
          <w:bCs/>
          <w:sz w:val="24"/>
          <w:szCs w:val="24"/>
        </w:rPr>
        <w:t>宫颈癌体素不相干运动的直方图和纹理特征的可重复性研究</w:t>
      </w:r>
    </w:p>
    <w:p>
      <w:pPr>
        <w:spacing w:line="300" w:lineRule="auto"/>
        <w:jc w:val="center"/>
        <w:rPr>
          <w:rFonts w:hint="eastAsia" w:ascii="宋体" w:hAnsi="宋体" w:eastAsia="宋体" w:cs="宋体"/>
          <w:sz w:val="24"/>
          <w:szCs w:val="24"/>
        </w:rPr>
      </w:pPr>
      <w:r>
        <w:rPr>
          <w:rFonts w:hint="eastAsia" w:ascii="宋体" w:hAnsi="宋体" w:eastAsia="宋体" w:cs="宋体"/>
          <w:sz w:val="24"/>
          <w:szCs w:val="24"/>
        </w:rPr>
        <w:t>湖北省肿瘤医院</w:t>
      </w:r>
    </w:p>
    <w:p>
      <w:pPr>
        <w:spacing w:line="30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刘涛 陈浩</w:t>
      </w:r>
    </w:p>
    <w:p>
      <w:pPr>
        <w:rPr>
          <w:rFonts w:hint="eastAsia" w:ascii="宋体" w:hAnsi="宋体" w:eastAsia="宋体" w:cs="宋体"/>
          <w:sz w:val="24"/>
          <w:szCs w:val="24"/>
        </w:rPr>
      </w:pPr>
      <w:r>
        <w:rPr>
          <w:rFonts w:hint="eastAsia" w:ascii="宋体" w:hAnsi="宋体" w:eastAsia="宋体" w:cs="宋体"/>
          <w:sz w:val="24"/>
          <w:szCs w:val="24"/>
        </w:rPr>
        <w:t>目的：探讨宫颈癌体素内不相干运动成像（intravoxel incoherent motion, IVIM）的直方图和纹理特征观察者内部及观察者间的可重复性。</w:t>
      </w:r>
    </w:p>
    <w:p>
      <w:pPr>
        <w:rPr>
          <w:rFonts w:hint="eastAsia" w:ascii="宋体" w:hAnsi="宋体" w:eastAsia="宋体" w:cs="宋体"/>
          <w:sz w:val="24"/>
          <w:szCs w:val="24"/>
        </w:rPr>
      </w:pPr>
      <w:r>
        <w:rPr>
          <w:rFonts w:hint="eastAsia" w:ascii="宋体" w:hAnsi="宋体" w:eastAsia="宋体" w:cs="宋体"/>
          <w:sz w:val="24"/>
          <w:szCs w:val="24"/>
        </w:rPr>
        <w:t>方法：回顾性搜集2015年12月至2016年2月20例经我院1.5T GE MRI采集且病理证实为宫颈癌患者的IVIM图像，将这些图像导入GE AW4.6后处理工作站MADC软件中，分别生成标准表观扩散系数图（ADC-stand）、快速表观扩散系数图（ADC-fast）、慢速表观扩散系数图（ADC-slow）、扩散分数图（f）；将这些生成的图像及b=1000s / mm2的DWI图导入3D slicer 软件中，由两名不同年资影像医生独立利用该软件在b=1000s / mm2的DWI图上分别间隔一个月两次勾画病灶最大层面的ROI，并将该ROI移植到各IVIM衍生的参数图上，再利用该软件计算肿瘤最大层面的常见的直方图和纹理特征，共计11个特征，并使用T检验及组内相关系数（intraclass correlation coefficient, ICC）评价观察者内部、观察者之间测量的特征可重复性。</w:t>
      </w:r>
    </w:p>
    <w:p>
      <w:pPr>
        <w:rPr>
          <w:rFonts w:hint="eastAsia" w:ascii="宋体" w:hAnsi="宋体" w:eastAsia="宋体" w:cs="宋体"/>
          <w:sz w:val="24"/>
          <w:szCs w:val="24"/>
        </w:rPr>
      </w:pPr>
      <w:r>
        <w:rPr>
          <w:rFonts w:hint="eastAsia" w:ascii="宋体" w:hAnsi="宋体" w:eastAsia="宋体" w:cs="宋体"/>
          <w:sz w:val="24"/>
          <w:szCs w:val="24"/>
        </w:rPr>
        <w:t>结果：在ADC-stand图中，组内比较的10百分位数和组间比较的10百分位数、逆差矩为可重复特征；ADC-fast图中组内比较的10百分位数、90百分位数、自相关性、对比度、能量、逆差矩、峰度、平均值、偏度、方差和组间比较的10百分位数、90百分位数、自相关性、对比度、能量、熵、逆差矩、峰度、方差为可重复特征；ADC-slow图中组内比较的10百分位数、90百分位数、自相关性、平均值、方差和组间比较的10百分位数、自相关性、对比度、逆差矩、平均值、方差为可重复特征；f图中组内比较的自相关性、对比度、峰度、平均值、方差和组间比较的90百分位数、自相关性、对比度、熵、峰度、方差为可重复特征。</w:t>
      </w:r>
    </w:p>
    <w:p>
      <w:pPr>
        <w:rPr>
          <w:rFonts w:hint="eastAsia" w:ascii="宋体" w:hAnsi="宋体" w:eastAsia="宋体" w:cs="宋体"/>
          <w:sz w:val="24"/>
          <w:szCs w:val="24"/>
        </w:rPr>
      </w:pPr>
      <w:r>
        <w:rPr>
          <w:rFonts w:hint="eastAsia" w:ascii="宋体" w:hAnsi="宋体" w:eastAsia="宋体" w:cs="宋体"/>
          <w:sz w:val="24"/>
          <w:szCs w:val="24"/>
        </w:rPr>
        <w:t>结论：宫颈癌IVIM衍生ADC-fast、ADC-slow、f图中提取的可重复特征的数量要稍高于ADC-stand图；观察者内部认知水平的不同会对影像组学特征的可重复性产生影响。</w:t>
      </w:r>
    </w:p>
    <w:p>
      <w:pPr>
        <w:rPr>
          <w:rFonts w:hint="eastAsia" w:ascii="宋体" w:hAnsi="宋体" w:eastAsia="宋体" w:cs="宋体"/>
          <w:sz w:val="24"/>
          <w:szCs w:val="24"/>
        </w:rPr>
      </w:pPr>
      <w:r>
        <w:rPr>
          <w:rFonts w:hint="eastAsia" w:ascii="宋体" w:hAnsi="宋体" w:eastAsia="宋体" w:cs="宋体"/>
          <w:sz w:val="24"/>
          <w:szCs w:val="24"/>
        </w:rPr>
        <w:t>【关键词】 宫颈癌  体素内不相干运动  直方图  纹理特征  可重复性</w:t>
      </w:r>
    </w:p>
    <w:p>
      <w:pPr>
        <w:rPr>
          <w:rFonts w:hint="eastAsia" w:ascii="宋体" w:hAnsi="宋体" w:eastAsia="宋体" w:cs="宋体"/>
          <w:sz w:val="24"/>
          <w:szCs w:val="24"/>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ind w:firstLine="241" w:firstLineChars="100"/>
        <w:jc w:val="center"/>
        <w:rPr>
          <w:rFonts w:hint="eastAsia" w:ascii="宋体" w:hAnsi="宋体" w:eastAsia="宋体" w:cs="宋体"/>
          <w:b/>
          <w:bCs/>
          <w:sz w:val="24"/>
          <w:szCs w:val="24"/>
        </w:rPr>
      </w:pPr>
      <w:r>
        <w:rPr>
          <w:rFonts w:hint="eastAsia" w:ascii="宋体" w:hAnsi="宋体" w:eastAsia="宋体" w:cs="宋体"/>
          <w:b/>
          <w:bCs/>
          <w:sz w:val="24"/>
          <w:szCs w:val="24"/>
        </w:rPr>
        <w:t>宫颈癌腔内MRI不相干运动弥散加权放射组学特征的可重复性</w:t>
      </w:r>
    </w:p>
    <w:p>
      <w:pPr>
        <w:spacing w:line="300" w:lineRule="auto"/>
        <w:ind w:firstLine="3360" w:firstLineChars="1400"/>
        <w:rPr>
          <w:rFonts w:hint="eastAsia" w:ascii="宋体" w:hAnsi="宋体" w:eastAsia="宋体" w:cs="宋体"/>
          <w:sz w:val="24"/>
          <w:szCs w:val="24"/>
        </w:rPr>
      </w:pPr>
      <w:r>
        <w:rPr>
          <w:rFonts w:hint="eastAsia" w:ascii="宋体" w:hAnsi="宋体" w:eastAsia="宋体" w:cs="宋体"/>
          <w:sz w:val="24"/>
          <w:szCs w:val="24"/>
        </w:rPr>
        <w:t>湖北省肿瘤医院</w:t>
      </w:r>
    </w:p>
    <w:p>
      <w:pPr>
        <w:spacing w:line="30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刘涛  贺瑶瑶</w:t>
      </w:r>
    </w:p>
    <w:p>
      <w:pPr>
        <w:rPr>
          <w:rFonts w:hint="eastAsia" w:ascii="宋体" w:hAnsi="宋体" w:eastAsia="宋体" w:cs="宋体"/>
          <w:color w:val="000000"/>
          <w:sz w:val="24"/>
          <w:szCs w:val="24"/>
        </w:rPr>
      </w:pPr>
      <w:r>
        <w:rPr>
          <w:rFonts w:hint="eastAsia" w:ascii="宋体" w:hAnsi="宋体" w:eastAsia="宋体" w:cs="宋体"/>
          <w:color w:val="000000"/>
          <w:sz w:val="24"/>
          <w:szCs w:val="24"/>
        </w:rPr>
        <w:t>目的 ：以不相干运动成像（IVIM）为基础的人体放射组学研究的可重复性尚未见报道。主要探讨宫颈癌（CC）IVIM-MRI影像学特征可重复性的观察者间和观察者内变异性。</w:t>
      </w:r>
    </w:p>
    <w:p>
      <w:pPr>
        <w:rPr>
          <w:rFonts w:hint="eastAsia" w:ascii="宋体" w:hAnsi="宋体" w:eastAsia="宋体" w:cs="宋体"/>
          <w:color w:val="000000"/>
          <w:sz w:val="24"/>
          <w:szCs w:val="24"/>
        </w:rPr>
      </w:pPr>
      <w:r>
        <w:rPr>
          <w:rFonts w:hint="eastAsia" w:ascii="宋体" w:hAnsi="宋体" w:eastAsia="宋体" w:cs="宋体"/>
          <w:color w:val="000000"/>
          <w:sz w:val="24"/>
          <w:szCs w:val="24"/>
        </w:rPr>
        <w:t>方法：回顾性分析25例乳腺癌患者的IVIM图像。参考高分辨率T2WI图像，由两位放射科医生在肿瘤最大横切面上分别在DWI图像上描绘两次感兴趣区域（ROI），b值=1000s/mm2（间隔时间为1个月）。随后，将ROI分别复制到ADC、真扩散系数（D）、伪扩散系数（D*）和灌注分数（f）图上。最后，从每个IVIM衍生图中提取92个放射组学特征。通过组内相关系数（ICC）评估IVIM衍生特征的观察者间和观察者内再现性。</w:t>
      </w:r>
    </w:p>
    <w:p>
      <w:pPr>
        <w:rPr>
          <w:rFonts w:hint="eastAsia" w:ascii="宋体" w:hAnsi="宋体" w:eastAsia="宋体" w:cs="宋体"/>
          <w:color w:val="000000"/>
          <w:sz w:val="24"/>
          <w:szCs w:val="24"/>
        </w:rPr>
      </w:pPr>
      <w:r>
        <w:rPr>
          <w:rFonts w:hint="eastAsia" w:ascii="宋体" w:hAnsi="宋体" w:eastAsia="宋体" w:cs="宋体"/>
          <w:color w:val="000000"/>
          <w:sz w:val="24"/>
          <w:szCs w:val="24"/>
        </w:rPr>
        <w:t>结果：观察者间和观察者内的变异性影响放射组学特征的再现性。在观察者内部分析中，从D*map中提取的可重复特征率最高，分别为100%和95%，而ADC-map中的可重复特征率为89%和93%，D-map中的可重复特征率为97%和86%，f-map中的可重复特征率为54%和62%。同样，在观察者间分析中，D*map的可重复特征率最高，分别为90%和94%，而ADC map的可重复特征率为85%和70%，D map的可重复特征率为81%和78%，f map的可重复特征率为41%和93%。</w:t>
      </w:r>
    </w:p>
    <w:p>
      <w:pPr>
        <w:pStyle w:val="9"/>
        <w:widowControl/>
        <w:spacing w:before="75" w:beforeAutospacing="0" w:after="75" w:afterAutospacing="0"/>
        <w:rPr>
          <w:rFonts w:hint="eastAsia" w:ascii="宋体" w:hAnsi="宋体" w:eastAsia="宋体" w:cs="宋体"/>
          <w:sz w:val="24"/>
          <w:szCs w:val="24"/>
        </w:rPr>
      </w:pPr>
      <w:r>
        <w:rPr>
          <w:rFonts w:hint="eastAsia" w:ascii="宋体" w:hAnsi="宋体" w:eastAsia="宋体" w:cs="宋体"/>
          <w:color w:val="000000"/>
          <w:sz w:val="24"/>
          <w:szCs w:val="24"/>
        </w:rPr>
        <w:t>结论：</w:t>
      </w:r>
      <w:r>
        <w:rPr>
          <w:rFonts w:hint="eastAsia" w:ascii="宋体" w:hAnsi="宋体" w:eastAsia="宋体" w:cs="宋体"/>
          <w:sz w:val="24"/>
          <w:szCs w:val="24"/>
        </w:rPr>
        <w:t>观察者间和观察者内的变异性会影响放射组学分析。多中心研究应该更多地关注观察者之间和内部的变异性。</w:t>
      </w: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widowControl/>
        <w:spacing w:before="75" w:beforeAutospacing="0" w:after="75" w:afterAutospacing="0"/>
        <w:rPr>
          <w:rFonts w:hint="eastAsia" w:ascii="宋体" w:hAnsi="宋体" w:eastAsia="宋体" w:cs="宋体"/>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i w:val="0"/>
          <w:caps w:val="0"/>
          <w:color w:val="333333"/>
          <w:spacing w:val="0"/>
          <w:sz w:val="24"/>
          <w:szCs w:val="24"/>
          <w:shd w:val="clear" w:fill="FFFFFF"/>
        </w:rPr>
        <w:t>钙化性纤维性肿瘤2例并文献分析</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i w:val="0"/>
          <w:caps w:val="0"/>
          <w:color w:val="333333"/>
          <w:spacing w:val="0"/>
          <w:sz w:val="24"/>
          <w:szCs w:val="24"/>
          <w:shd w:val="clear" w:fill="FFFFFF"/>
          <w:lang w:val="en-US" w:eastAsia="zh-CN"/>
        </w:rPr>
        <w:t xml:space="preserve">  </w:t>
      </w:r>
      <w:r>
        <w:rPr>
          <w:rFonts w:hint="eastAsia" w:ascii="宋体" w:hAnsi="宋体" w:eastAsia="宋体" w:cs="宋体"/>
          <w:b/>
          <w:i w:val="0"/>
          <w:caps w:val="0"/>
          <w:color w:val="333333"/>
          <w:spacing w:val="0"/>
          <w:sz w:val="24"/>
          <w:szCs w:val="24"/>
          <w:shd w:val="clear" w:fill="FFFFFF"/>
        </w:rPr>
        <w:t>潘晗 , 陈长春</w:t>
      </w:r>
      <w:r>
        <w:rPr>
          <w:rFonts w:hint="eastAsia" w:ascii="宋体" w:hAnsi="宋体" w:eastAsia="宋体" w:cs="宋体"/>
          <w:b/>
          <w:i w:val="0"/>
          <w:caps w:val="0"/>
          <w:color w:val="333333"/>
          <w:spacing w:val="0"/>
          <w:sz w:val="24"/>
          <w:szCs w:val="24"/>
          <w:shd w:val="clear" w:fill="FFFFFF"/>
          <w:vertAlign w:val="superscript"/>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i w:val="0"/>
          <w:caps w:val="0"/>
          <w:color w:val="333333"/>
          <w:spacing w:val="0"/>
          <w:sz w:val="24"/>
          <w:szCs w:val="24"/>
          <w:shd w:val="clear" w:fill="FFFFFF"/>
        </w:rPr>
        <w:t>湖北省肿瘤医院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eastAsia" w:ascii="宋体" w:hAnsi="宋体" w:eastAsia="宋体" w:cs="宋体"/>
          <w:sz w:val="24"/>
          <w:szCs w:val="24"/>
        </w:rPr>
      </w:pPr>
      <w:r>
        <w:rPr>
          <w:rFonts w:hint="eastAsia" w:ascii="宋体" w:hAnsi="宋体" w:eastAsia="宋体" w:cs="宋体"/>
          <w:i w:val="0"/>
          <w:caps w:val="0"/>
          <w:color w:val="060000"/>
          <w:spacing w:val="0"/>
          <w:kern w:val="0"/>
          <w:sz w:val="24"/>
          <w:szCs w:val="24"/>
          <w:shd w:val="clear" w:fill="FFFFFF"/>
          <w:lang w:val="en-US" w:eastAsia="zh-CN" w:bidi="ar"/>
        </w:rPr>
        <w:t>目的：</w:t>
      </w:r>
      <w:r>
        <w:rPr>
          <w:rFonts w:hint="eastAsia" w:ascii="宋体" w:hAnsi="宋体" w:eastAsia="宋体" w:cs="宋体"/>
          <w:i w:val="0"/>
          <w:caps w:val="0"/>
          <w:color w:val="333333"/>
          <w:spacing w:val="0"/>
          <w:sz w:val="24"/>
          <w:szCs w:val="24"/>
          <w:shd w:val="clear" w:fill="FFFFFF"/>
        </w:rPr>
        <w:t>结合过往文献总结钙化性纤维性肿瘤的影像、病理及免疫组化特点，为其诊断与鉴别诊断提供帮助。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eastAsia" w:ascii="宋体" w:hAnsi="宋体" w:eastAsia="宋体" w:cs="宋体"/>
          <w:sz w:val="24"/>
          <w:szCs w:val="24"/>
        </w:rPr>
      </w:pPr>
      <w:r>
        <w:rPr>
          <w:rFonts w:hint="eastAsia" w:ascii="宋体" w:hAnsi="宋体" w:eastAsia="宋体" w:cs="宋体"/>
          <w:i w:val="0"/>
          <w:caps w:val="0"/>
          <w:color w:val="060000"/>
          <w:spacing w:val="0"/>
          <w:kern w:val="0"/>
          <w:sz w:val="24"/>
          <w:szCs w:val="24"/>
          <w:shd w:val="clear" w:fill="FFFFFF"/>
          <w:lang w:val="en-US" w:eastAsia="zh-CN" w:bidi="ar"/>
        </w:rPr>
        <w:t>方法：</w:t>
      </w:r>
      <w:r>
        <w:rPr>
          <w:rFonts w:hint="eastAsia" w:ascii="宋体" w:hAnsi="宋体" w:eastAsia="宋体" w:cs="宋体"/>
          <w:i w:val="0"/>
          <w:caps w:val="0"/>
          <w:color w:val="333333"/>
          <w:spacing w:val="0"/>
          <w:sz w:val="24"/>
          <w:szCs w:val="24"/>
          <w:shd w:val="clear" w:fill="FFFFFF"/>
        </w:rPr>
        <w:t>收集2019至今在我院就诊，经手术病理证实为钙化性纤维瘤的病例2例，分析其基本资料、临床表现、影像征象，结合术后病理及免疫组化综合分析。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eastAsia" w:ascii="宋体" w:hAnsi="宋体" w:eastAsia="宋体" w:cs="宋体"/>
          <w:sz w:val="24"/>
          <w:szCs w:val="24"/>
        </w:rPr>
      </w:pPr>
      <w:r>
        <w:rPr>
          <w:rFonts w:hint="eastAsia" w:ascii="宋体" w:hAnsi="宋体" w:eastAsia="宋体" w:cs="宋体"/>
          <w:i w:val="0"/>
          <w:caps w:val="0"/>
          <w:color w:val="060000"/>
          <w:spacing w:val="0"/>
          <w:kern w:val="0"/>
          <w:sz w:val="24"/>
          <w:szCs w:val="24"/>
          <w:shd w:val="clear" w:fill="FFFFFF"/>
          <w:lang w:val="en-US" w:eastAsia="zh-CN" w:bidi="ar"/>
        </w:rPr>
        <w:t>结果：</w:t>
      </w:r>
      <w:r>
        <w:rPr>
          <w:rFonts w:hint="eastAsia" w:ascii="宋体" w:hAnsi="宋体" w:eastAsia="宋体" w:cs="宋体"/>
          <w:i w:val="0"/>
          <w:caps w:val="0"/>
          <w:color w:val="333333"/>
          <w:spacing w:val="0"/>
          <w:sz w:val="24"/>
          <w:szCs w:val="24"/>
          <w:shd w:val="clear" w:fill="FFFFFF"/>
        </w:rPr>
        <w:t>钙化性纤维性肿瘤以单发为主，多发少见，其典型CT影像表现为境界清晰软组织结节或肿块，内含粗大条状钙化或散在不规则点状钙化，无明显坏死或囊变，增强扫描呈轻度缓慢均匀强化。病理上肿瘤由大量束状排列的致密胶原纤维 组成，其间夹杂少量梭形细胞，并淋巴细胞和浆细胞浸润形成淋巴小结或淋巴滤泡。免疫表型：CD31、CD34阳性，STAT6阳 性，浆 细 胞IgG阳性 ，但IgG4阴性。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eastAsia" w:ascii="宋体" w:hAnsi="宋体" w:eastAsia="宋体" w:cs="宋体"/>
          <w:sz w:val="24"/>
          <w:szCs w:val="24"/>
        </w:rPr>
      </w:pPr>
      <w:r>
        <w:rPr>
          <w:rFonts w:hint="eastAsia" w:ascii="宋体" w:hAnsi="宋体" w:eastAsia="宋体" w:cs="宋体"/>
          <w:i w:val="0"/>
          <w:caps w:val="0"/>
          <w:color w:val="060000"/>
          <w:spacing w:val="0"/>
          <w:kern w:val="0"/>
          <w:sz w:val="24"/>
          <w:szCs w:val="24"/>
          <w:shd w:val="clear" w:fill="FFFFFF"/>
          <w:lang w:val="en-US" w:eastAsia="zh-CN" w:bidi="ar"/>
        </w:rPr>
        <w:t>结论：</w:t>
      </w:r>
      <w:r>
        <w:rPr>
          <w:rFonts w:hint="eastAsia" w:ascii="宋体" w:hAnsi="宋体" w:eastAsia="宋体" w:cs="宋体"/>
          <w:i w:val="0"/>
          <w:caps w:val="0"/>
          <w:color w:val="333333"/>
          <w:spacing w:val="0"/>
          <w:sz w:val="24"/>
          <w:szCs w:val="24"/>
          <w:shd w:val="clear" w:fill="FFFFFF"/>
        </w:rPr>
        <w:t>钙化性纤维性肿瘤是一种罕见良性间叶性肿瘤，发生于人体多个部位，其特征影像表现为瘤体内粗大或点状钙化，对诊断和鉴别诊断有一定的帮助。</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60000"/>
          <w:spacing w:val="0"/>
          <w:sz w:val="24"/>
          <w:szCs w:val="24"/>
          <w:shd w:val="clear" w:fill="FFFFFF"/>
        </w:rPr>
        <w:t>关键字：</w:t>
      </w:r>
      <w:r>
        <w:rPr>
          <w:rFonts w:hint="eastAsia" w:ascii="宋体" w:hAnsi="宋体" w:eastAsia="宋体" w:cs="宋体"/>
          <w:i w:val="0"/>
          <w:caps w:val="0"/>
          <w:color w:val="333333"/>
          <w:spacing w:val="0"/>
          <w:sz w:val="24"/>
          <w:szCs w:val="24"/>
          <w:shd w:val="clear" w:fill="FFFFFF"/>
        </w:rPr>
        <w:t>钙化性纤维性肿瘤；影像学；诊断；鉴别诊断</w:t>
      </w:r>
    </w:p>
    <w:p>
      <w:pPr>
        <w:rPr>
          <w:rFonts w:hint="eastAsia" w:ascii="宋体" w:hAnsi="宋体" w:eastAsia="宋体" w:cs="宋体"/>
          <w:sz w:val="24"/>
          <w:szCs w:val="24"/>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i w:val="0"/>
          <w:caps w:val="0"/>
          <w:color w:val="333333"/>
          <w:spacing w:val="0"/>
          <w:sz w:val="24"/>
          <w:szCs w:val="24"/>
          <w:shd w:val="clear" w:fill="FFFFFF"/>
        </w:rPr>
        <w:t>肺小结节胸腔镜术前CT引导下定位的应用评价</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i w:val="0"/>
          <w:caps w:val="0"/>
          <w:color w:val="333333"/>
          <w:spacing w:val="0"/>
          <w:sz w:val="24"/>
          <w:szCs w:val="24"/>
          <w:shd w:val="clear" w:fill="FFFFFF"/>
          <w:lang w:val="en-US" w:eastAsia="zh-CN"/>
        </w:rPr>
        <w:t xml:space="preserve">  </w:t>
      </w:r>
      <w:r>
        <w:rPr>
          <w:rFonts w:hint="eastAsia" w:ascii="宋体" w:hAnsi="宋体" w:eastAsia="宋体" w:cs="宋体"/>
          <w:b/>
          <w:i w:val="0"/>
          <w:caps w:val="0"/>
          <w:color w:val="333333"/>
          <w:spacing w:val="0"/>
          <w:sz w:val="24"/>
          <w:szCs w:val="24"/>
          <w:shd w:val="clear" w:fill="FFFFFF"/>
        </w:rPr>
        <w:t>潘晗 , 陈长春</w:t>
      </w:r>
      <w:r>
        <w:rPr>
          <w:rFonts w:hint="eastAsia" w:ascii="宋体" w:hAnsi="宋体" w:eastAsia="宋体" w:cs="宋体"/>
          <w:b/>
          <w:i w:val="0"/>
          <w:caps w:val="0"/>
          <w:color w:val="333333"/>
          <w:spacing w:val="0"/>
          <w:sz w:val="24"/>
          <w:szCs w:val="24"/>
          <w:shd w:val="clear" w:fill="FFFFFF"/>
          <w:vertAlign w:val="superscript"/>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caps w:val="0"/>
          <w:color w:val="333333"/>
          <w:spacing w:val="0"/>
          <w:sz w:val="24"/>
          <w:szCs w:val="24"/>
        </w:rPr>
      </w:pPr>
      <w:r>
        <w:rPr>
          <w:rFonts w:hint="eastAsia" w:ascii="宋体" w:hAnsi="宋体" w:eastAsia="宋体" w:cs="宋体"/>
          <w:b/>
          <w:i w:val="0"/>
          <w:caps w:val="0"/>
          <w:color w:val="333333"/>
          <w:spacing w:val="0"/>
          <w:sz w:val="24"/>
          <w:szCs w:val="24"/>
          <w:shd w:val="clear" w:fill="FFFFFF"/>
        </w:rPr>
        <w:t>湖北省肿瘤医院</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eastAsia" w:ascii="宋体" w:hAnsi="宋体" w:eastAsia="宋体" w:cs="宋体"/>
          <w:sz w:val="24"/>
          <w:szCs w:val="24"/>
        </w:rPr>
      </w:pPr>
      <w:r>
        <w:rPr>
          <w:rFonts w:hint="eastAsia" w:ascii="宋体" w:hAnsi="宋体" w:eastAsia="宋体" w:cs="宋体"/>
          <w:i w:val="0"/>
          <w:caps w:val="0"/>
          <w:color w:val="333333"/>
          <w:spacing w:val="0"/>
          <w:sz w:val="24"/>
          <w:szCs w:val="24"/>
          <w:shd w:val="clear" w:fill="FFFFFF"/>
        </w:rPr>
        <w:t>目的：探讨胸腔镜术前CT引导下亚甲蓝混合医用胶注射标记肺小结节穿刺定位的应用价值</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eastAsia" w:ascii="宋体" w:hAnsi="宋体" w:eastAsia="宋体" w:cs="宋体"/>
          <w:sz w:val="24"/>
          <w:szCs w:val="24"/>
        </w:rPr>
      </w:pPr>
      <w:r>
        <w:rPr>
          <w:rFonts w:hint="eastAsia" w:ascii="宋体" w:hAnsi="宋体" w:eastAsia="宋体" w:cs="宋体"/>
          <w:i w:val="0"/>
          <w:caps w:val="0"/>
          <w:color w:val="333333"/>
          <w:spacing w:val="0"/>
          <w:sz w:val="24"/>
          <w:szCs w:val="24"/>
          <w:shd w:val="clear" w:fill="FFFFFF"/>
        </w:rPr>
        <w:t>方法：回顾分析我院2018至2020年47例胸腔镜术前定位病例（51枚结节），均经CT引导下定位术后行胸腔镜下肺叶楔形切除术，定位方法为术前1-2小时在CT引导下使用18G空心针穿刺局部注入预混的亚甲蓝和医用胶标记肺内小结节。观察定位术和胸腔镜手术成功率，及并发症发生情况。</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eastAsia" w:ascii="宋体" w:hAnsi="宋体" w:eastAsia="宋体" w:cs="宋体"/>
          <w:sz w:val="24"/>
          <w:szCs w:val="24"/>
        </w:rPr>
      </w:pPr>
      <w:r>
        <w:rPr>
          <w:rFonts w:hint="eastAsia" w:ascii="宋体" w:hAnsi="宋体" w:eastAsia="宋体" w:cs="宋体"/>
          <w:i w:val="0"/>
          <w:caps w:val="0"/>
          <w:color w:val="333333"/>
          <w:spacing w:val="0"/>
          <w:sz w:val="24"/>
          <w:szCs w:val="24"/>
          <w:shd w:val="clear" w:fill="FFFFFF"/>
        </w:rPr>
        <w:t>结果：在CT引导下51枚小结节穿刺定位成功率100%，病灶平均长径1.0cm（0.3~2.3cm），短径0.8cm（0.3~1.2cm），距离脏层胸膜平均距离1.0cm（0~2.6cm）。穿刺定位发生并发症4例，其中少量气胸、大量气胸各1例，穿刺区域疼痛2例。定位后胸腔镜下肺小结节切除成功率100%，无转开胸手术。术后病理腺瘤样增生2例，上皮不典型增生4例，原位癌3例，微浸润性腺癌10例，浸润性腺癌16例，炎性病变10例，转移3例，另有3例结节在病理中未找到可以用于诊断的组织。</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eastAsia" w:ascii="宋体" w:hAnsi="宋体" w:eastAsia="宋体" w:cs="宋体"/>
          <w:sz w:val="24"/>
          <w:szCs w:val="24"/>
        </w:rPr>
      </w:pPr>
      <w:r>
        <w:rPr>
          <w:rFonts w:hint="eastAsia" w:ascii="宋体" w:hAnsi="宋体" w:eastAsia="宋体" w:cs="宋体"/>
          <w:i w:val="0"/>
          <w:caps w:val="0"/>
          <w:color w:val="333333"/>
          <w:spacing w:val="0"/>
          <w:sz w:val="24"/>
          <w:szCs w:val="24"/>
          <w:shd w:val="clear" w:fill="FFFFFF"/>
        </w:rPr>
        <w:t>结论：在CT引导下使用亚甲蓝混合医用胶注射对肺小结节进行穿刺定位，能安全快速定位肺内小结节，对胸腔镜下肺内微小结节切除有重要作用。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60000"/>
          <w:spacing w:val="0"/>
          <w:sz w:val="24"/>
          <w:szCs w:val="24"/>
          <w:shd w:val="clear" w:fill="FFFFFF"/>
        </w:rPr>
        <w:t>关键字：</w:t>
      </w:r>
      <w:r>
        <w:rPr>
          <w:rFonts w:hint="eastAsia" w:ascii="宋体" w:hAnsi="宋体" w:eastAsia="宋体" w:cs="宋体"/>
          <w:i w:val="0"/>
          <w:caps w:val="0"/>
          <w:color w:val="333333"/>
          <w:spacing w:val="0"/>
          <w:sz w:val="24"/>
          <w:szCs w:val="24"/>
          <w:shd w:val="clear" w:fill="FFFFFF"/>
        </w:rPr>
        <w:t>肺结节；医用胶；亚甲蓝； CT引导穿刺；胸腔镜</w:t>
      </w:r>
    </w:p>
    <w:p>
      <w:pPr>
        <w:widowControl w:val="0"/>
        <w:autoSpaceDE w:val="0"/>
        <w:autoSpaceDN w:val="0"/>
        <w:adjustRightInd w:val="0"/>
        <w:spacing w:line="360" w:lineRule="auto"/>
        <w:jc w:val="both"/>
        <w:rPr>
          <w:rFonts w:hint="eastAsia" w:ascii="宋体" w:hAnsi="宋体" w:eastAsia="宋体" w:cs="宋体"/>
          <w:color w:val="000000" w:themeColor="text1"/>
          <w:sz w:val="24"/>
          <w:szCs w:val="24"/>
          <w14:textFill>
            <w14:solidFill>
              <w14:schemeClr w14:val="tx1"/>
            </w14:solidFill>
          </w14:textFill>
        </w:rPr>
      </w:pPr>
    </w:p>
    <w:p>
      <w:pPr>
        <w:widowControl w:val="0"/>
        <w:autoSpaceDE w:val="0"/>
        <w:autoSpaceDN w:val="0"/>
        <w:adjustRightInd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非肿块型乳腺癌多参数MRI与Ki-67阳性表达的相关性分析</w:t>
      </w:r>
    </w:p>
    <w:p>
      <w:pPr>
        <w:widowControl w:val="0"/>
        <w:autoSpaceDE w:val="0"/>
        <w:autoSpaceDN w:val="0"/>
        <w:adjustRightInd w:val="0"/>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湖北省肿瘤医院CT室，聂婷婷</w:t>
      </w:r>
    </w:p>
    <w:p>
      <w:pPr>
        <w:widowControl/>
        <w:autoSpaceDE/>
        <w:autoSpaceDN/>
        <w:adjustRightInd/>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[摘要]</w:t>
      </w:r>
      <w:r>
        <w:rPr>
          <w:rFonts w:hint="eastAsia" w:ascii="宋体" w:hAnsi="宋体" w:eastAsia="宋体" w:cs="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14:textFill>
            <w14:solidFill>
              <w14:schemeClr w14:val="tx1"/>
            </w14:solidFill>
          </w14:textFill>
        </w:rPr>
        <w:t>目的</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探讨非肿块型乳腺癌MR影像特征与Ki-67阳性表达的相关性。</w:t>
      </w:r>
      <w:r>
        <w:rPr>
          <w:rFonts w:hint="eastAsia" w:ascii="宋体" w:hAnsi="宋体" w:eastAsia="宋体" w:cs="宋体"/>
          <w:b/>
          <w:bCs/>
          <w:color w:val="000000" w:themeColor="text1"/>
          <w:sz w:val="24"/>
          <w:szCs w:val="24"/>
          <w14:textFill>
            <w14:solidFill>
              <w14:schemeClr w14:val="tx1"/>
            </w14:solidFill>
          </w14:textFill>
        </w:rPr>
        <w:t>方法</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收集术前行MRI动态增强及弥散加权成像、表现为非肿块样强化且经病理证实的乳腺癌患者63例。测量肿瘤的ADC值及大小</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记录病灶分布特征、强化特征、TIC曲线类型、有无同侧腋窝淋巴结肿大，</w:t>
      </w:r>
      <w:r>
        <w:rPr>
          <w:rFonts w:hint="eastAsia" w:ascii="宋体" w:hAnsi="宋体" w:eastAsia="宋体" w:cs="宋体"/>
          <w:color w:val="000000" w:themeColor="text1"/>
          <w:sz w:val="24"/>
          <w:szCs w:val="24"/>
          <w:lang w:val="en-US" w:eastAsia="zh-CN"/>
          <w14:textFill>
            <w14:solidFill>
              <w14:schemeClr w14:val="tx1"/>
            </w14:solidFill>
          </w14:textFill>
        </w:rPr>
        <w:t>利用Person 卡方检验、Fisher精确概率法及</w:t>
      </w:r>
      <w:r>
        <w:rPr>
          <w:rFonts w:hint="eastAsia" w:ascii="宋体" w:hAnsi="宋体" w:eastAsia="宋体" w:cs="宋体"/>
          <w:color w:val="000000" w:themeColor="text1"/>
          <w:sz w:val="24"/>
          <w:szCs w:val="24"/>
          <w14:textFill>
            <w14:solidFill>
              <w14:schemeClr w14:val="tx1"/>
            </w14:solidFill>
          </w14:textFill>
        </w:rPr>
        <w:t>Spearman秩相关分析以上特征与Ki-67阳性表达的相关性，绘制ROC曲线。</w:t>
      </w:r>
      <w:r>
        <w:rPr>
          <w:rFonts w:hint="eastAsia" w:ascii="宋体" w:hAnsi="宋体" w:eastAsia="宋体" w:cs="宋体"/>
          <w:b/>
          <w:bCs/>
          <w:color w:val="000000" w:themeColor="text1"/>
          <w:sz w:val="24"/>
          <w:szCs w:val="24"/>
          <w14:textFill>
            <w14:solidFill>
              <w14:schemeClr w14:val="tx1"/>
            </w14:solidFill>
          </w14:textFill>
        </w:rPr>
        <w:t>结果</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病灶分布</w:t>
      </w:r>
      <w:r>
        <w:rPr>
          <w:rFonts w:hint="eastAsia" w:ascii="宋体" w:hAnsi="宋体" w:eastAsia="宋体" w:cs="宋体"/>
          <w:color w:val="000000" w:themeColor="text1"/>
          <w:sz w:val="24"/>
          <w:szCs w:val="24"/>
          <w:lang w:val="en-US" w:eastAsia="zh-CN"/>
          <w14:textFill>
            <w14:solidFill>
              <w14:schemeClr w14:val="tx1"/>
            </w14:solidFill>
          </w14:textFill>
        </w:rPr>
        <w:t>特征、TIC类型及同侧腋窝淋巴结肿大与</w:t>
      </w:r>
      <w:r>
        <w:rPr>
          <w:rFonts w:hint="eastAsia" w:ascii="宋体" w:hAnsi="宋体" w:eastAsia="宋体" w:cs="宋体"/>
          <w:color w:val="000000" w:themeColor="text1"/>
          <w:sz w:val="24"/>
          <w:szCs w:val="24"/>
          <w14:textFill>
            <w14:solidFill>
              <w14:schemeClr w14:val="tx1"/>
            </w14:solidFill>
          </w14:textFill>
        </w:rPr>
        <w:t>Ki-67阳性表达</w:t>
      </w:r>
      <w:r>
        <w:rPr>
          <w:rFonts w:hint="eastAsia" w:ascii="宋体" w:hAnsi="宋体" w:eastAsia="宋体" w:cs="宋体"/>
          <w:color w:val="000000" w:themeColor="text1"/>
          <w:sz w:val="24"/>
          <w:szCs w:val="24"/>
          <w:lang w:val="en-US" w:eastAsia="zh-CN"/>
          <w14:textFill>
            <w14:solidFill>
              <w14:schemeClr w14:val="tx1"/>
            </w14:solidFill>
          </w14:textFill>
        </w:rPr>
        <w:t>具有关联性</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i w:val="0"/>
          <w:iCs w:val="0"/>
          <w:color w:val="000000" w:themeColor="text1"/>
          <w:sz w:val="24"/>
          <w:szCs w:val="24"/>
          <w:lang w:val="en-US" w:eastAsia="zh-CN"/>
          <w14:textFill>
            <w14:solidFill>
              <w14:schemeClr w14:val="tx1"/>
            </w14:solidFill>
          </w14:textFill>
        </w:rPr>
        <w:t>列联系数</w:t>
      </w:r>
      <w:r>
        <w:rPr>
          <w:rFonts w:hint="eastAsia" w:ascii="宋体" w:hAnsi="宋体" w:eastAsia="宋体" w:cs="宋体"/>
          <w:color w:val="000000" w:themeColor="text1"/>
          <w:sz w:val="24"/>
          <w:szCs w:val="24"/>
          <w14:textFill>
            <w14:solidFill>
              <w14:schemeClr w14:val="tx1"/>
            </w14:solidFill>
          </w14:textFill>
        </w:rPr>
        <w:t>分别为</w:t>
      </w:r>
      <w:r>
        <w:rPr>
          <w:rFonts w:hint="eastAsia" w:ascii="宋体" w:hAnsi="宋体" w:eastAsia="宋体" w:cs="宋体"/>
          <w:color w:val="000000" w:themeColor="text1"/>
          <w:sz w:val="24"/>
          <w:szCs w:val="24"/>
          <w:lang w:val="en-US" w:eastAsia="zh-CN"/>
          <w14:textFill>
            <w14:solidFill>
              <w14:schemeClr w14:val="tx1"/>
            </w14:solidFill>
          </w14:textFill>
        </w:rPr>
        <w:t>0.397、0.357、0.357</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i/>
          <w:iCs/>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＜0.01</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病灶内部特征与</w:t>
      </w:r>
      <w:r>
        <w:rPr>
          <w:rFonts w:hint="eastAsia" w:ascii="宋体" w:hAnsi="宋体" w:eastAsia="宋体" w:cs="宋体"/>
          <w:color w:val="000000" w:themeColor="text1"/>
          <w:sz w:val="24"/>
          <w:szCs w:val="24"/>
          <w14:textFill>
            <w14:solidFill>
              <w14:schemeClr w14:val="tx1"/>
            </w14:solidFill>
          </w14:textFill>
        </w:rPr>
        <w:t>Ki-67阳性表达</w:t>
      </w:r>
      <w:r>
        <w:rPr>
          <w:rFonts w:hint="eastAsia" w:ascii="宋体" w:hAnsi="宋体" w:eastAsia="宋体" w:cs="宋体"/>
          <w:color w:val="000000" w:themeColor="text1"/>
          <w:sz w:val="24"/>
          <w:szCs w:val="24"/>
          <w:lang w:val="en-US" w:eastAsia="zh-CN"/>
          <w14:textFill>
            <w14:solidFill>
              <w14:schemeClr w14:val="tx1"/>
            </w14:solidFill>
          </w14:textFill>
        </w:rPr>
        <w:t>不具有关联性</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肿瘤</w:t>
      </w:r>
      <w:r>
        <w:rPr>
          <w:rFonts w:hint="eastAsia" w:ascii="宋体" w:hAnsi="宋体" w:eastAsia="宋体" w:cs="宋体"/>
          <w:color w:val="000000" w:themeColor="text1"/>
          <w:sz w:val="24"/>
          <w:szCs w:val="24"/>
          <w14:textFill>
            <w14:solidFill>
              <w14:schemeClr w14:val="tx1"/>
            </w14:solidFill>
          </w14:textFill>
        </w:rPr>
        <w:t>ADC</w:t>
      </w:r>
      <w:r>
        <w:rPr>
          <w:rFonts w:hint="eastAsia" w:ascii="宋体" w:hAnsi="宋体" w:eastAsia="宋体" w:cs="宋体"/>
          <w:color w:val="000000" w:themeColor="text1"/>
          <w:sz w:val="24"/>
          <w:szCs w:val="24"/>
          <w:lang w:val="en-US" w:eastAsia="zh-CN"/>
          <w14:textFill>
            <w14:solidFill>
              <w14:schemeClr w14:val="tx1"/>
            </w14:solidFill>
          </w14:textFill>
        </w:rPr>
        <w:t>值、肿瘤大小与</w:t>
      </w:r>
      <w:r>
        <w:rPr>
          <w:rFonts w:hint="eastAsia" w:ascii="宋体" w:hAnsi="宋体" w:eastAsia="宋体" w:cs="宋体"/>
          <w:color w:val="000000" w:themeColor="text1"/>
          <w:sz w:val="24"/>
          <w:szCs w:val="24"/>
          <w14:textFill>
            <w14:solidFill>
              <w14:schemeClr w14:val="tx1"/>
            </w14:solidFill>
          </w14:textFill>
        </w:rPr>
        <w:t>Ki-67阳性表达</w:t>
      </w:r>
      <w:r>
        <w:rPr>
          <w:rFonts w:hint="eastAsia" w:ascii="宋体" w:hAnsi="宋体" w:eastAsia="宋体" w:cs="宋体"/>
          <w:color w:val="000000" w:themeColor="text1"/>
          <w:sz w:val="24"/>
          <w:szCs w:val="24"/>
          <w:lang w:val="en-US" w:eastAsia="zh-CN"/>
          <w14:textFill>
            <w14:solidFill>
              <w14:schemeClr w14:val="tx1"/>
            </w14:solidFill>
          </w14:textFill>
        </w:rPr>
        <w:t>呈正相关，</w:t>
      </w:r>
      <w:r>
        <w:rPr>
          <w:rFonts w:hint="eastAsia" w:ascii="宋体" w:hAnsi="宋体" w:eastAsia="宋体" w:cs="宋体"/>
          <w:i/>
          <w:iCs/>
          <w:color w:val="000000" w:themeColor="text1"/>
          <w:sz w:val="24"/>
          <w:szCs w:val="24"/>
          <w:lang w:val="en-US" w:eastAsia="zh-CN"/>
          <w14:textFill>
            <w14:solidFill>
              <w14:schemeClr w14:val="tx1"/>
            </w14:solidFill>
          </w14:textFill>
        </w:rPr>
        <w:t>r</w:t>
      </w:r>
      <w:r>
        <w:rPr>
          <w:rFonts w:hint="eastAsia" w:ascii="宋体" w:hAnsi="宋体" w:eastAsia="宋体" w:cs="宋体"/>
          <w:i/>
          <w:iCs/>
          <w:color w:val="000000" w:themeColor="text1"/>
          <w:sz w:val="24"/>
          <w:szCs w:val="24"/>
          <w:vertAlign w:val="subscript"/>
          <w:lang w:val="en-US" w:eastAsia="zh-CN"/>
          <w14:textFill>
            <w14:solidFill>
              <w14:schemeClr w14:val="tx1"/>
            </w14:solidFill>
          </w14:textFill>
        </w:rPr>
        <w:t>s</w:t>
      </w:r>
      <w:r>
        <w:rPr>
          <w:rFonts w:hint="eastAsia" w:ascii="宋体" w:hAnsi="宋体" w:eastAsia="宋体" w:cs="宋体"/>
          <w:color w:val="000000" w:themeColor="text1"/>
          <w:sz w:val="24"/>
          <w:szCs w:val="24"/>
          <w:lang w:val="en-US" w:eastAsia="zh-CN"/>
          <w14:textFill>
            <w14:solidFill>
              <w14:schemeClr w14:val="tx1"/>
            </w14:solidFill>
          </w14:textFill>
        </w:rPr>
        <w:t>值分别为0.295、0.392，</w:t>
      </w:r>
      <w:r>
        <w:rPr>
          <w:rFonts w:hint="eastAsia" w:ascii="宋体" w:hAnsi="宋体" w:eastAsia="宋体" w:cs="宋体"/>
          <w:i/>
          <w:iCs/>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＜0.0</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ROC曲线分析肿瘤大小、ADC值判断Ki-67阳性的最佳阈值分别为5.05cm</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0</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4035×10</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 xml:space="preserve"> mm</w:t>
      </w:r>
      <w:r>
        <w:rPr>
          <w:rFonts w:hint="eastAsia" w:ascii="宋体" w:hAnsi="宋体" w:eastAsia="宋体" w:cs="宋体"/>
          <w:color w:val="000000" w:themeColor="text1"/>
          <w:sz w:val="24"/>
          <w:szCs w:val="24"/>
          <w:vertAlign w:val="superscript"/>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/s</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AUC值分别为0.759、0.695</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结论</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非肿块样强化乳腺癌</w:t>
      </w:r>
      <w:r>
        <w:rPr>
          <w:rFonts w:hint="eastAsia" w:ascii="宋体" w:hAnsi="宋体" w:eastAsia="宋体" w:cs="宋体"/>
          <w:color w:val="000000" w:themeColor="text1"/>
          <w:sz w:val="24"/>
          <w:szCs w:val="24"/>
          <w:lang w:val="en-US" w:eastAsia="zh-CN"/>
          <w14:textFill>
            <w14:solidFill>
              <w14:schemeClr w14:val="tx1"/>
            </w14:solidFill>
          </w14:textFill>
        </w:rPr>
        <w:t>的</w:t>
      </w:r>
      <w:r>
        <w:rPr>
          <w:rFonts w:hint="eastAsia" w:ascii="宋体" w:hAnsi="宋体" w:eastAsia="宋体" w:cs="宋体"/>
          <w:color w:val="000000" w:themeColor="text1"/>
          <w:sz w:val="24"/>
          <w:szCs w:val="24"/>
          <w14:textFill>
            <w14:solidFill>
              <w14:schemeClr w14:val="tx1"/>
            </w14:solidFill>
          </w14:textFill>
        </w:rPr>
        <w:t>ADC</w:t>
      </w:r>
      <w:r>
        <w:rPr>
          <w:rFonts w:hint="eastAsia" w:ascii="宋体" w:hAnsi="宋体" w:eastAsia="宋体" w:cs="宋体"/>
          <w:color w:val="000000" w:themeColor="text1"/>
          <w:sz w:val="24"/>
          <w:szCs w:val="24"/>
          <w:lang w:val="en-US" w:eastAsia="zh-CN"/>
          <w14:textFill>
            <w14:solidFill>
              <w14:schemeClr w14:val="tx1"/>
            </w14:solidFill>
          </w14:textFill>
        </w:rPr>
        <w:t>值、肿瘤大小、</w:t>
      </w:r>
      <w:r>
        <w:rPr>
          <w:rFonts w:hint="eastAsia" w:ascii="宋体" w:hAnsi="宋体" w:eastAsia="宋体" w:cs="宋体"/>
          <w:color w:val="000000" w:themeColor="text1"/>
          <w:sz w:val="24"/>
          <w:szCs w:val="24"/>
          <w14:textFill>
            <w14:solidFill>
              <w14:schemeClr w14:val="tx1"/>
            </w14:solidFill>
          </w14:textFill>
        </w:rPr>
        <w:t>病灶分布</w:t>
      </w:r>
      <w:r>
        <w:rPr>
          <w:rFonts w:hint="eastAsia" w:ascii="宋体" w:hAnsi="宋体" w:eastAsia="宋体" w:cs="宋体"/>
          <w:color w:val="000000" w:themeColor="text1"/>
          <w:sz w:val="24"/>
          <w:szCs w:val="24"/>
          <w:lang w:val="en-US" w:eastAsia="zh-CN"/>
          <w14:textFill>
            <w14:solidFill>
              <w14:schemeClr w14:val="tx1"/>
            </w14:solidFill>
          </w14:textFill>
        </w:rPr>
        <w:t>特征、TIC类型等</w:t>
      </w:r>
      <w:r>
        <w:rPr>
          <w:rFonts w:hint="eastAsia" w:ascii="宋体" w:hAnsi="宋体" w:eastAsia="宋体" w:cs="宋体"/>
          <w:color w:val="000000" w:themeColor="text1"/>
          <w:sz w:val="24"/>
          <w:szCs w:val="24"/>
          <w14:textFill>
            <w14:solidFill>
              <w14:schemeClr w14:val="tx1"/>
            </w14:solidFill>
          </w14:textFill>
        </w:rPr>
        <w:t>与Ki-67阳性表达具有相关性</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可以间接为非肿块样乳腺癌的诊断、治疗及预后提供参考依据</w:t>
      </w:r>
      <w:r>
        <w:rPr>
          <w:rFonts w:hint="eastAsia" w:ascii="宋体" w:hAnsi="宋体" w:eastAsia="宋体" w:cs="宋体"/>
          <w:color w:val="000000" w:themeColor="text1"/>
          <w:sz w:val="24"/>
          <w:szCs w:val="24"/>
          <w14:textFill>
            <w14:solidFill>
              <w14:schemeClr w14:val="tx1"/>
            </w14:solidFill>
          </w14:textFill>
        </w:rPr>
        <w:t>。</w:t>
      </w:r>
    </w:p>
    <w:p>
      <w:pPr>
        <w:widowControl w:val="0"/>
        <w:autoSpaceDE w:val="0"/>
        <w:autoSpaceDN w:val="0"/>
        <w:adjustRightInd w:val="0"/>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[关键词]</w:t>
      </w:r>
      <w:r>
        <w:rPr>
          <w:rFonts w:hint="eastAsia" w:ascii="宋体" w:hAnsi="宋体" w:eastAsia="宋体" w:cs="宋体"/>
          <w:color w:val="000000" w:themeColor="text1"/>
          <w:sz w:val="24"/>
          <w:szCs w:val="24"/>
          <w14:textFill>
            <w14:solidFill>
              <w14:schemeClr w14:val="tx1"/>
            </w14:solidFill>
          </w14:textFill>
        </w:rPr>
        <w:t>：非肿块样乳腺癌；MRI；</w:t>
      </w:r>
      <w:r>
        <w:rPr>
          <w:rFonts w:hint="eastAsia" w:ascii="宋体" w:hAnsi="宋体" w:eastAsia="宋体" w:cs="宋体"/>
          <w:color w:val="000000" w:themeColor="text1"/>
          <w:sz w:val="24"/>
          <w:szCs w:val="24"/>
          <w:lang w:val="en-US" w:eastAsia="zh-CN"/>
          <w14:textFill>
            <w14:solidFill>
              <w14:schemeClr w14:val="tx1"/>
            </w14:solidFill>
          </w14:textFill>
        </w:rPr>
        <w:t>ADC值；</w:t>
      </w:r>
      <w:r>
        <w:rPr>
          <w:rFonts w:hint="eastAsia" w:ascii="宋体" w:hAnsi="宋体" w:eastAsia="宋体" w:cs="宋体"/>
          <w:color w:val="000000" w:themeColor="text1"/>
          <w:sz w:val="24"/>
          <w:szCs w:val="24"/>
          <w14:textFill>
            <w14:solidFill>
              <w14:schemeClr w14:val="tx1"/>
            </w14:solidFill>
          </w14:textFill>
        </w:rPr>
        <w:t>Ki-67</w:t>
      </w:r>
    </w:p>
    <w:p>
      <w:pPr>
        <w:rPr>
          <w:rFonts w:hint="eastAsia" w:ascii="宋体" w:hAnsi="宋体" w:eastAsia="宋体" w:cs="宋体"/>
          <w:sz w:val="24"/>
          <w:szCs w:val="24"/>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bCs/>
          <w:i w:val="0"/>
          <w:iCs w:val="0"/>
          <w:caps w:val="0"/>
          <w:color w:val="333333"/>
          <w:spacing w:val="0"/>
          <w:sz w:val="24"/>
          <w:szCs w:val="24"/>
          <w:shd w:val="clear" w:fill="FFFFFF"/>
        </w:rPr>
        <w:t>非小细胞肺癌靶向药物治疗后继发脑转移瘤MR特征分析及临床价值研究</w:t>
      </w:r>
      <w:r>
        <w:rPr>
          <w:rFonts w:hint="eastAsia" w:ascii="宋体" w:hAnsi="宋体" w:eastAsia="宋体" w:cs="宋体"/>
          <w:b/>
          <w:bCs/>
          <w:i w:val="0"/>
          <w:iCs w:val="0"/>
          <w:caps w:val="0"/>
          <w:color w:val="333333"/>
          <w:spacing w:val="0"/>
          <w:sz w:val="24"/>
          <w:szCs w:val="24"/>
          <w:shd w:val="clear" w:fill="FFFFFF"/>
          <w:lang w:val="en-US" w:eastAsia="zh-CN"/>
        </w:rPr>
        <w:t>(</w:t>
      </w:r>
      <w:r>
        <w:rPr>
          <w:rFonts w:hint="eastAsia" w:ascii="宋体" w:hAnsi="宋体" w:eastAsia="宋体" w:cs="宋体"/>
          <w:b/>
          <w:bCs/>
          <w:i w:val="0"/>
          <w:iCs w:val="0"/>
          <w:caps w:val="0"/>
          <w:color w:val="333333"/>
          <w:spacing w:val="0"/>
          <w:sz w:val="24"/>
          <w:szCs w:val="24"/>
          <w:shd w:val="clear" w:fill="FFFFFF"/>
        </w:rPr>
        <w:t>ID</w:t>
      </w:r>
      <w:r>
        <w:rPr>
          <w:rFonts w:hint="eastAsia" w:ascii="宋体" w:hAnsi="宋体" w:eastAsia="宋体" w:cs="宋体"/>
          <w:b/>
          <w:bCs/>
          <w:i w:val="0"/>
          <w:iCs w:val="0"/>
          <w:caps w:val="0"/>
          <w:color w:val="333333"/>
          <w:spacing w:val="0"/>
          <w:sz w:val="24"/>
          <w:szCs w:val="24"/>
          <w:shd w:val="clear" w:fill="FFFFFF"/>
          <w:lang w:val="en-US" w:eastAsia="zh-CN"/>
        </w:rPr>
        <w:t>1453)</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bCs/>
          <w:i w:val="0"/>
          <w:iCs w:val="0"/>
          <w:caps w:val="0"/>
          <w:color w:val="333333"/>
          <w:spacing w:val="0"/>
          <w:sz w:val="24"/>
          <w:szCs w:val="24"/>
          <w:shd w:val="clear" w:fill="FFFFFF"/>
        </w:rPr>
        <w:t>邓文友</w:t>
      </w:r>
      <w:r>
        <w:rPr>
          <w:rFonts w:hint="eastAsia" w:ascii="宋体" w:hAnsi="宋体" w:eastAsia="宋体" w:cs="宋体"/>
          <w:b/>
          <w:bCs/>
          <w:i w:val="0"/>
          <w:iCs w:val="0"/>
          <w:caps w:val="0"/>
          <w:color w:val="333333"/>
          <w:spacing w:val="0"/>
          <w:sz w:val="24"/>
          <w:szCs w:val="24"/>
          <w:shd w:val="clear" w:fill="FFFFFF"/>
          <w:vertAlign w:val="superscript"/>
        </w:rPr>
        <w:t>*</w:t>
      </w:r>
      <w:r>
        <w:rPr>
          <w:rFonts w:hint="eastAsia" w:ascii="宋体" w:hAnsi="宋体" w:eastAsia="宋体" w:cs="宋体"/>
          <w:b/>
          <w:bCs/>
          <w:i w:val="0"/>
          <w:iCs w:val="0"/>
          <w:caps w:val="0"/>
          <w:color w:val="333333"/>
          <w:spacing w:val="0"/>
          <w:sz w:val="24"/>
          <w:szCs w:val="24"/>
          <w:shd w:val="clear" w:fill="FFFFFF"/>
        </w:rPr>
        <w:t>, 郭小芳</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bCs/>
          <w:i w:val="0"/>
          <w:iCs w:val="0"/>
          <w:caps w:val="0"/>
          <w:color w:val="333333"/>
          <w:spacing w:val="0"/>
          <w:sz w:val="24"/>
          <w:szCs w:val="24"/>
          <w:shd w:val="clear" w:fill="FFFFFF"/>
        </w:rPr>
        <w:t>湖北省肿瘤医院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sz w:val="24"/>
          <w:szCs w:val="24"/>
        </w:rPr>
      </w:pPr>
      <w:r>
        <w:rPr>
          <w:rFonts w:hint="eastAsia" w:ascii="宋体" w:hAnsi="宋体" w:eastAsia="宋体" w:cs="宋体"/>
          <w:i w:val="0"/>
          <w:iCs w:val="0"/>
          <w:caps w:val="0"/>
          <w:color w:val="060000"/>
          <w:spacing w:val="0"/>
          <w:kern w:val="0"/>
          <w:sz w:val="24"/>
          <w:szCs w:val="24"/>
          <w:shd w:val="clear" w:fill="FFFFFF"/>
          <w:lang w:val="en-US" w:eastAsia="zh-CN" w:bidi="ar"/>
        </w:rPr>
        <w:t>目的：</w:t>
      </w:r>
      <w:r>
        <w:rPr>
          <w:rFonts w:hint="eastAsia" w:ascii="宋体" w:hAnsi="宋体" w:eastAsia="宋体" w:cs="宋体"/>
          <w:i w:val="0"/>
          <w:iCs w:val="0"/>
          <w:caps w:val="0"/>
          <w:color w:val="333333"/>
          <w:spacing w:val="0"/>
          <w:sz w:val="24"/>
          <w:szCs w:val="24"/>
          <w:shd w:val="clear" w:fill="FFFFFF"/>
        </w:rPr>
        <w:t>探究非小细胞肺癌（non-small cell lung cancer，NSCLC）经过靶向药物治疗后继发脑转移瘤的患者颅脑MR影像表现特征及其指导临床治疗方式的价值。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060000"/>
          <w:spacing w:val="0"/>
          <w:kern w:val="0"/>
          <w:sz w:val="24"/>
          <w:szCs w:val="24"/>
          <w:shd w:val="clear" w:fill="FFFFFF"/>
          <w:lang w:val="en-US" w:eastAsia="zh-CN" w:bidi="ar"/>
        </w:rPr>
        <w:t>方法：</w:t>
      </w:r>
      <w:r>
        <w:rPr>
          <w:rFonts w:hint="eastAsia" w:ascii="宋体" w:hAnsi="宋体" w:eastAsia="宋体" w:cs="宋体"/>
          <w:i w:val="0"/>
          <w:iCs w:val="0"/>
          <w:caps w:val="0"/>
          <w:color w:val="333333"/>
          <w:spacing w:val="0"/>
          <w:sz w:val="24"/>
          <w:szCs w:val="24"/>
          <w:shd w:val="clear" w:fill="FFFFFF"/>
        </w:rPr>
        <w:t>回顾性分析本院自2015年1月至2020年12月间诊断为NSCLC并行EGFR基因检测结果突变型患者203例，根据患者在行靶向药物治疗前及靶向药物治疗后发生脑转移分为两组，靶向药物治疗前脑转移患者125例，靶向药物治疗后发生脑转移患者78例，统计两组患者MR影像学特征包括：肿瘤长径＞3cm、数目超过3个、肿瘤位置、是否瘤内出血、有无瘤周水肿、有无脑膜转移进行计数统计，统计学采用χ2检验分析两组间的差异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sz w:val="24"/>
          <w:szCs w:val="24"/>
        </w:rPr>
      </w:pPr>
      <w:r>
        <w:rPr>
          <w:rFonts w:hint="eastAsia" w:ascii="宋体" w:hAnsi="宋体" w:eastAsia="宋体" w:cs="宋体"/>
          <w:i w:val="0"/>
          <w:iCs w:val="0"/>
          <w:caps w:val="0"/>
          <w:color w:val="060000"/>
          <w:spacing w:val="0"/>
          <w:kern w:val="0"/>
          <w:sz w:val="24"/>
          <w:szCs w:val="24"/>
          <w:shd w:val="clear" w:fill="FFFFFF"/>
          <w:lang w:val="en-US" w:eastAsia="zh-CN" w:bidi="ar"/>
        </w:rPr>
        <w:t>结果：</w:t>
      </w:r>
      <w:r>
        <w:rPr>
          <w:rFonts w:hint="eastAsia" w:ascii="宋体" w:hAnsi="宋体" w:eastAsia="宋体" w:cs="宋体"/>
          <w:i w:val="0"/>
          <w:iCs w:val="0"/>
          <w:caps w:val="0"/>
          <w:color w:val="333333"/>
          <w:spacing w:val="0"/>
          <w:sz w:val="24"/>
          <w:szCs w:val="24"/>
          <w:shd w:val="clear" w:fill="FFFFFF"/>
        </w:rPr>
        <w:t>NSCLC患者发生脑转移瘤在靶向药物治疗前后两组间的肿瘤发生的位置、数目及有无脑膜转移均无差异性（P＞0.05），两组间的肿瘤长径（P=0.04）、瘤内合并出血（P=0.02）、瘤周水肿（P=0.001）差异具有统计学意义，NSCLC患者在靶向药物治疗后继发的脑转移瘤瘤体较小，肿瘤内合并出血少，瘤周水肿的发生比较少出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060000"/>
          <w:spacing w:val="0"/>
          <w:kern w:val="0"/>
          <w:sz w:val="24"/>
          <w:szCs w:val="24"/>
          <w:shd w:val="clear" w:fill="FFFFFF"/>
          <w:lang w:val="en-US" w:eastAsia="zh-CN" w:bidi="ar"/>
        </w:rPr>
        <w:t>结论：</w:t>
      </w:r>
      <w:r>
        <w:rPr>
          <w:rFonts w:hint="eastAsia" w:ascii="宋体" w:hAnsi="宋体" w:eastAsia="宋体" w:cs="宋体"/>
          <w:i w:val="0"/>
          <w:iCs w:val="0"/>
          <w:caps w:val="0"/>
          <w:color w:val="333333"/>
          <w:spacing w:val="0"/>
          <w:sz w:val="24"/>
          <w:szCs w:val="24"/>
          <w:shd w:val="clear" w:fill="FFFFFF"/>
        </w:rPr>
        <w:t>NSCLC患者在靶向药物治疗后继发的脑转移瘤具有的特征可评估治疗疗效并在指导临床选择合适治疗方法上有一定的临床价值。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60000"/>
          <w:spacing w:val="0"/>
          <w:sz w:val="24"/>
          <w:szCs w:val="24"/>
          <w:shd w:val="clear" w:fill="FFFFFF"/>
        </w:rPr>
        <w:t>关键字：</w:t>
      </w:r>
      <w:r>
        <w:rPr>
          <w:rFonts w:hint="eastAsia" w:ascii="宋体" w:hAnsi="宋体" w:eastAsia="宋体" w:cs="宋体"/>
          <w:i w:val="0"/>
          <w:iCs w:val="0"/>
          <w:caps w:val="0"/>
          <w:color w:val="333333"/>
          <w:spacing w:val="0"/>
          <w:sz w:val="24"/>
          <w:szCs w:val="24"/>
          <w:shd w:val="clear" w:fill="FFFFFF"/>
        </w:rPr>
        <w:t>非小细胞癌；脑转移瘤；磁共振特征</w:t>
      </w:r>
    </w:p>
    <w:p>
      <w:pPr>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spacing w:beforeLines="0" w:afterLines="0"/>
        <w:jc w:val="left"/>
        <w:rPr>
          <w:rFonts w:hint="eastAsia" w:ascii="宋体" w:hAnsi="宋体" w:eastAsia="宋体" w:cs="宋体"/>
          <w:sz w:val="24"/>
          <w:szCs w:val="24"/>
          <w:lang w:val="en-US" w:eastAsia="zh-CN"/>
        </w:rPr>
      </w:pPr>
    </w:p>
    <w:p>
      <w:pPr>
        <w:jc w:val="center"/>
        <w:rPr>
          <w:rFonts w:hint="eastAsia" w:ascii="宋体" w:hAnsi="宋体" w:eastAsia="宋体" w:cs="宋体"/>
          <w:b/>
          <w:bCs/>
          <w:i w:val="0"/>
          <w:color w:val="000000"/>
          <w:sz w:val="24"/>
          <w:szCs w:val="24"/>
          <w:u w:val="none"/>
          <w:lang w:val="en-US" w:eastAsia="zh-CN"/>
        </w:rPr>
      </w:pPr>
      <w:r>
        <w:rPr>
          <w:rFonts w:hint="eastAsia" w:ascii="宋体" w:hAnsi="宋体" w:eastAsia="宋体" w:cs="宋体"/>
          <w:b/>
          <w:bCs/>
          <w:i w:val="0"/>
          <w:color w:val="000000"/>
          <w:sz w:val="24"/>
          <w:szCs w:val="24"/>
          <w:u w:val="none"/>
          <w:lang w:val="en-US" w:eastAsia="zh-CN"/>
        </w:rPr>
        <w:t>部分傅立叶技术（RPF）对基于RESOLVE鼻咽癌IVIM及DKI参数的影响</w:t>
      </w:r>
    </w:p>
    <w:p>
      <w:pPr>
        <w:ind w:firstLine="3120" w:firstLineChars="1300"/>
        <w:rPr>
          <w:rFonts w:hint="eastAsia" w:ascii="宋体" w:hAnsi="宋体" w:eastAsia="宋体" w:cs="宋体"/>
          <w:b w:val="0"/>
          <w:bCs w:val="0"/>
          <w:i w:val="0"/>
          <w:color w:val="000000"/>
          <w:sz w:val="24"/>
          <w:szCs w:val="24"/>
          <w:u w:val="none"/>
          <w:lang w:val="en-US" w:eastAsia="zh-CN"/>
        </w:rPr>
      </w:pPr>
      <w:r>
        <w:rPr>
          <w:rFonts w:hint="eastAsia" w:ascii="宋体" w:hAnsi="宋体" w:eastAsia="宋体" w:cs="宋体"/>
          <w:b w:val="0"/>
          <w:bCs w:val="0"/>
          <w:i w:val="0"/>
          <w:color w:val="000000"/>
          <w:sz w:val="24"/>
          <w:szCs w:val="24"/>
          <w:u w:val="none"/>
          <w:lang w:val="en-US" w:eastAsia="zh-CN"/>
        </w:rPr>
        <w:t>刘涛,彭伟,袁子龙</w:t>
      </w:r>
    </w:p>
    <w:p>
      <w:pPr>
        <w:ind w:firstLine="3132" w:firstLineChars="1300"/>
        <w:rPr>
          <w:rFonts w:hint="eastAsia" w:ascii="宋体" w:hAnsi="宋体" w:eastAsia="宋体" w:cs="宋体"/>
          <w:b w:val="0"/>
          <w:bCs w:val="0"/>
          <w:i w:val="0"/>
          <w:color w:val="000000"/>
          <w:sz w:val="24"/>
          <w:szCs w:val="24"/>
          <w:u w:val="none"/>
          <w:lang w:val="en-US" w:eastAsia="zh-CN"/>
        </w:rPr>
      </w:pPr>
      <w:r>
        <w:rPr>
          <w:rFonts w:hint="eastAsia" w:ascii="宋体" w:hAnsi="宋体" w:eastAsia="宋体" w:cs="宋体"/>
          <w:b/>
          <w:bCs/>
          <w:i w:val="0"/>
          <w:iCs w:val="0"/>
          <w:caps w:val="0"/>
          <w:color w:val="333333"/>
          <w:spacing w:val="0"/>
          <w:sz w:val="24"/>
          <w:szCs w:val="24"/>
          <w:shd w:val="clear" w:fill="FFFFFF"/>
        </w:rPr>
        <w:t>湖北省肿瘤医院</w:t>
      </w:r>
    </w:p>
    <w:p>
      <w:pPr>
        <w:rPr>
          <w:rFonts w:hint="eastAsia" w:ascii="宋体" w:hAnsi="宋体" w:eastAsia="宋体" w:cs="宋体"/>
          <w:b w:val="0"/>
          <w:bCs w:val="0"/>
          <w:i w:val="0"/>
          <w:color w:val="000000"/>
          <w:sz w:val="24"/>
          <w:szCs w:val="24"/>
          <w:u w:val="none"/>
          <w:lang w:val="en-US" w:eastAsia="zh-CN"/>
        </w:rPr>
      </w:pPr>
      <w:r>
        <w:rPr>
          <w:rFonts w:hint="eastAsia" w:ascii="宋体" w:hAnsi="宋体" w:eastAsia="宋体" w:cs="宋体"/>
          <w:b/>
          <w:bCs/>
          <w:sz w:val="24"/>
          <w:szCs w:val="24"/>
        </w:rPr>
        <w:t>【摘要】 </w:t>
      </w:r>
      <w:r>
        <w:rPr>
          <w:rFonts w:hint="eastAsia" w:ascii="宋体" w:hAnsi="宋体" w:eastAsia="宋体" w:cs="宋体"/>
          <w:b/>
          <w:bCs/>
          <w:i w:val="0"/>
          <w:color w:val="000000"/>
          <w:sz w:val="24"/>
          <w:szCs w:val="24"/>
          <w:u w:val="none"/>
          <w:lang w:val="en-US" w:eastAsia="zh-CN"/>
        </w:rPr>
        <w:t>目的：</w:t>
      </w:r>
      <w:r>
        <w:rPr>
          <w:rFonts w:hint="eastAsia" w:ascii="宋体" w:hAnsi="宋体" w:eastAsia="宋体" w:cs="宋体"/>
          <w:b w:val="0"/>
          <w:bCs w:val="0"/>
          <w:i w:val="0"/>
          <w:color w:val="000000"/>
          <w:sz w:val="24"/>
          <w:szCs w:val="24"/>
          <w:u w:val="none"/>
          <w:lang w:val="en-US" w:eastAsia="zh-CN"/>
        </w:rPr>
        <w:t>研究部分傅里叶技术</w:t>
      </w:r>
      <w:r>
        <w:rPr>
          <w:rFonts w:hint="eastAsia" w:ascii="宋体" w:hAnsi="宋体" w:eastAsia="宋体" w:cs="宋体"/>
          <w:b/>
          <w:bCs/>
          <w:i w:val="0"/>
          <w:color w:val="000000"/>
          <w:sz w:val="24"/>
          <w:szCs w:val="24"/>
          <w:u w:val="none"/>
          <w:lang w:val="en-US" w:eastAsia="zh-CN"/>
        </w:rPr>
        <w:t>（RPF）</w:t>
      </w:r>
      <w:r>
        <w:rPr>
          <w:rFonts w:hint="eastAsia" w:ascii="宋体" w:hAnsi="宋体" w:eastAsia="宋体" w:cs="宋体"/>
          <w:b w:val="0"/>
          <w:bCs w:val="0"/>
          <w:i w:val="0"/>
          <w:color w:val="000000"/>
          <w:sz w:val="24"/>
          <w:szCs w:val="24"/>
          <w:u w:val="none"/>
          <w:lang w:val="en-US" w:eastAsia="zh-CN"/>
        </w:rPr>
        <w:t>对鼻咽癌中基于RESOLVE的IVIM和DKI参数的影响。介绍：鼻咽癌（NPC）是中国和东南亚人中最常见的恶性肿瘤之一。尽管基于常规单回波平面成像（SS-EPI）的体素不相干运动（IVIM）和弥散峰度成像（DKI）方法已用于NPC患者的肿瘤检测，分期，表征和预测肿瘤治疗疗效，然而扩散图像在临近空气和颅骨的地方往往会受磁化伪影影响明显。RESOLVE DWI具有较高的空间分辨率和较少的磁化伪影，能有效的解决图像受空气和颅骨的影响。但是扫描时间也相对增长很多，特别是对于IVIM和DKI成像。有研究表明，可以使用部分傅立叶技术来减少RESOLVE DWI的采集时间，但是这样会对扩散系数ADC值造成影响。目前还没有人研究使用部分傅立叶技术对基于RESOLVE的IVIM及DKI参数的影响，这项研究的目的是评估部分傅立叶技术对基于RESOLVE鼻咽癌的IVIM和DKI衍生参数的影响。</w:t>
      </w:r>
      <w:r>
        <w:rPr>
          <w:rFonts w:hint="eastAsia" w:ascii="宋体" w:hAnsi="宋体" w:eastAsia="宋体" w:cs="宋体"/>
          <w:b/>
          <w:bCs/>
          <w:i w:val="0"/>
          <w:color w:val="000000"/>
          <w:sz w:val="24"/>
          <w:szCs w:val="24"/>
          <w:u w:val="none"/>
          <w:lang w:val="en-US" w:eastAsia="zh-CN"/>
        </w:rPr>
        <w:t>方法：</w:t>
      </w:r>
      <w:r>
        <w:rPr>
          <w:rFonts w:hint="eastAsia" w:ascii="宋体" w:hAnsi="宋体" w:eastAsia="宋体" w:cs="宋体"/>
          <w:b w:val="0"/>
          <w:bCs w:val="0"/>
          <w:i w:val="0"/>
          <w:color w:val="000000"/>
          <w:sz w:val="24"/>
          <w:szCs w:val="24"/>
          <w:u w:val="none"/>
          <w:lang w:val="en-US" w:eastAsia="zh-CN"/>
        </w:rPr>
        <w:t>对12名经病理证实为鼻咽癌患者，在治疗前进行常规序列及多b值DWI序列扫描，所有患者均在西门子MAGNETOM Skyra 3.0T磁共振扫描仪上检查，使用带有20通道头颈阵列线圈，采用RESOLVE序列，分别采集应用部分傅立叶技术和不应用部分傅立叶技术轴位DWI图像，其中TR =3960ms， TE1 =82ms， TE2=98ms，3960 / 82/98 ms；扫描层厚4mm，层间隙0.4mm，扫描矩阵134×134;FOV为258×258 mm</w:t>
      </w:r>
      <w:r>
        <w:rPr>
          <w:rFonts w:hint="eastAsia" w:ascii="宋体" w:hAnsi="宋体" w:eastAsia="宋体" w:cs="宋体"/>
          <w:b w:val="0"/>
          <w:bCs w:val="0"/>
          <w:i w:val="0"/>
          <w:color w:val="000000"/>
          <w:sz w:val="24"/>
          <w:szCs w:val="24"/>
          <w:u w:val="none"/>
          <w:vertAlign w:val="superscript"/>
          <w:lang w:val="en-US" w:eastAsia="zh-CN"/>
        </w:rPr>
        <w:t>2</w:t>
      </w:r>
      <w:r>
        <w:rPr>
          <w:rFonts w:hint="eastAsia" w:ascii="宋体" w:hAnsi="宋体" w:eastAsia="宋体" w:cs="宋体"/>
          <w:b w:val="0"/>
          <w:bCs w:val="0"/>
          <w:i w:val="0"/>
          <w:color w:val="000000"/>
          <w:sz w:val="24"/>
          <w:szCs w:val="24"/>
          <w:u w:val="none"/>
          <w:lang w:val="en-US" w:eastAsia="zh-CN"/>
        </w:rPr>
        <w:t>； b值=0/10/20/40/80/150/200/400/800/1500/2000s/mm</w:t>
      </w:r>
      <w:r>
        <w:rPr>
          <w:rFonts w:hint="eastAsia" w:ascii="宋体" w:hAnsi="宋体" w:eastAsia="宋体" w:cs="宋体"/>
          <w:b w:val="0"/>
          <w:bCs w:val="0"/>
          <w:i w:val="0"/>
          <w:color w:val="000000"/>
          <w:sz w:val="24"/>
          <w:szCs w:val="24"/>
          <w:u w:val="none"/>
          <w:vertAlign w:val="superscript"/>
          <w:lang w:val="en-US" w:eastAsia="zh-CN"/>
        </w:rPr>
        <w:t>2</w:t>
      </w:r>
      <w:r>
        <w:rPr>
          <w:rFonts w:hint="eastAsia" w:ascii="宋体" w:hAnsi="宋体" w:eastAsia="宋体" w:cs="宋体"/>
          <w:b w:val="0"/>
          <w:bCs w:val="0"/>
          <w:i w:val="0"/>
          <w:color w:val="000000"/>
          <w:sz w:val="24"/>
          <w:szCs w:val="24"/>
          <w:u w:val="none"/>
          <w:vertAlign w:val="baseline"/>
          <w:lang w:val="en-US" w:eastAsia="zh-CN"/>
        </w:rPr>
        <w:t>；段读出段为5，</w:t>
      </w:r>
      <w:r>
        <w:rPr>
          <w:rFonts w:hint="eastAsia" w:ascii="宋体" w:hAnsi="宋体" w:eastAsia="宋体" w:cs="宋体"/>
          <w:b w:val="0"/>
          <w:bCs w:val="0"/>
          <w:i w:val="0"/>
          <w:color w:val="000000"/>
          <w:sz w:val="24"/>
          <w:szCs w:val="24"/>
          <w:u w:val="none"/>
          <w:lang w:val="en-US" w:eastAsia="zh-CN"/>
        </w:rPr>
        <w:t>两者扫描时间分别为8分59秒和14分51秒，采用西门子原装软件MR Body Diffusion Toolbox V1.3进行IVIM和DKI模型拟合。参照相应的常规图像，在b=800s/mm</w:t>
      </w:r>
      <w:r>
        <w:rPr>
          <w:rFonts w:hint="eastAsia" w:ascii="宋体" w:hAnsi="宋体" w:eastAsia="宋体" w:cs="宋体"/>
          <w:b w:val="0"/>
          <w:bCs w:val="0"/>
          <w:i w:val="0"/>
          <w:color w:val="000000"/>
          <w:sz w:val="24"/>
          <w:szCs w:val="24"/>
          <w:u w:val="none"/>
          <w:vertAlign w:val="superscript"/>
          <w:lang w:val="en-US" w:eastAsia="zh-CN"/>
        </w:rPr>
        <w:t>2</w:t>
      </w:r>
      <w:r>
        <w:rPr>
          <w:rFonts w:hint="eastAsia" w:ascii="宋体" w:hAnsi="宋体" w:eastAsia="宋体" w:cs="宋体"/>
          <w:b w:val="0"/>
          <w:bCs w:val="0"/>
          <w:i w:val="0"/>
          <w:color w:val="000000"/>
          <w:sz w:val="24"/>
          <w:szCs w:val="24"/>
          <w:u w:val="none"/>
          <w:vertAlign w:val="baseline"/>
          <w:lang w:val="en-US" w:eastAsia="zh-CN"/>
        </w:rPr>
        <w:t>图像上选定鼻咽肿瘤最大层面及其上下两层，分别勾画一</w:t>
      </w:r>
      <w:r>
        <w:rPr>
          <w:rFonts w:hint="eastAsia" w:ascii="宋体" w:hAnsi="宋体" w:eastAsia="宋体" w:cs="宋体"/>
          <w:b w:val="0"/>
          <w:bCs w:val="0"/>
          <w:i w:val="0"/>
          <w:color w:val="000000"/>
          <w:sz w:val="24"/>
          <w:szCs w:val="24"/>
          <w:u w:val="none"/>
          <w:lang w:val="en-US" w:eastAsia="zh-CN"/>
        </w:rPr>
        <w:t>个感兴趣区域（ROI），ROI大于20个像素，并避免肿瘤坏死及水肿区域；从0到800 s / mm2的9个b值用于计算IVIM衍生的参数（ADC，灌注分数（fp），水扩散系数（D），假扩散系数（Dp））；5个b值分别为200、400、800、1500、2000 s / mm2图像用于计算DKI衍生的参数（平均扩散系数（MD），平均峰度（MK）；所有参数值均取平均值。</w:t>
      </w:r>
      <w:r>
        <w:rPr>
          <w:rFonts w:hint="eastAsia" w:ascii="宋体" w:hAnsi="宋体" w:eastAsia="宋体" w:cs="宋体"/>
          <w:kern w:val="2"/>
          <w:sz w:val="24"/>
          <w:szCs w:val="24"/>
          <w:lang w:val="en-US" w:eastAsia="zh-CN" w:bidi="ar-SA"/>
        </w:rPr>
        <w:t>使用Bland-Altman分析来评估具有和不具有部分傅里叶读数的参数之间IVIM和DKI衍生参数的差异，将平均值±1.96倍标准偏差（SD）定义为95%一致性界限（LOA）。</w:t>
      </w:r>
      <w:r>
        <w:rPr>
          <w:rFonts w:hint="eastAsia" w:ascii="宋体" w:hAnsi="宋体" w:eastAsia="宋体" w:cs="宋体"/>
          <w:b/>
          <w:bCs/>
          <w:sz w:val="24"/>
          <w:szCs w:val="24"/>
          <w:lang w:val="en-US" w:eastAsia="zh-CN"/>
        </w:rPr>
        <w:t>结果：</w:t>
      </w:r>
      <w:r>
        <w:rPr>
          <w:rFonts w:hint="eastAsia" w:ascii="宋体" w:hAnsi="宋体" w:eastAsia="宋体" w:cs="宋体"/>
          <w:sz w:val="24"/>
          <w:szCs w:val="24"/>
          <w:lang w:val="en-US" w:eastAsia="zh-CN"/>
        </w:rPr>
        <w:t>ADC的平均差为6.36％； LOA为-1.92％–14.64％。 图2B和2C分别显示fp和D的平均差异为3.82％和3.94％。 LOA分别为-48.88％–56.52％和-10.69％–18.57％。 在图2B中也可以观察到一个离群值，为59.39％。 如图2D所示，Dp的最大差异为-11.38％，LOA为-47.36％–24.61％。 MK的最小差异为-0.06％； 如图2E所示，LOA为-25.45％–25.43％。 图2F显示MD的平均差异为4.16％； LOA为-6.97％–15.30％。</w:t>
      </w:r>
      <w:r>
        <w:rPr>
          <w:rFonts w:hint="eastAsia" w:ascii="宋体" w:hAnsi="宋体" w:eastAsia="宋体" w:cs="宋体"/>
          <w:b/>
          <w:bCs/>
          <w:i w:val="0"/>
          <w:color w:val="000000"/>
          <w:sz w:val="24"/>
          <w:szCs w:val="24"/>
          <w:u w:val="none"/>
          <w:lang w:val="en-US" w:eastAsia="zh-CN"/>
        </w:rPr>
        <w:t>结论：</w:t>
      </w:r>
      <w:r>
        <w:rPr>
          <w:rFonts w:hint="eastAsia" w:ascii="宋体" w:hAnsi="宋体" w:eastAsia="宋体" w:cs="宋体"/>
          <w:b w:val="0"/>
          <w:bCs w:val="0"/>
          <w:i w:val="0"/>
          <w:color w:val="000000"/>
          <w:sz w:val="24"/>
          <w:szCs w:val="24"/>
          <w:u w:val="none"/>
          <w:lang w:val="en-US" w:eastAsia="zh-CN"/>
        </w:rPr>
        <w:t>部分傅里叶技术</w:t>
      </w:r>
      <w:r>
        <w:rPr>
          <w:rFonts w:hint="eastAsia" w:ascii="宋体" w:hAnsi="宋体" w:eastAsia="宋体" w:cs="宋体"/>
          <w:b/>
          <w:bCs/>
          <w:i w:val="0"/>
          <w:color w:val="000000"/>
          <w:sz w:val="24"/>
          <w:szCs w:val="24"/>
          <w:u w:val="none"/>
          <w:lang w:val="en-US" w:eastAsia="zh-CN"/>
        </w:rPr>
        <w:t>（RPF）</w:t>
      </w:r>
      <w:r>
        <w:rPr>
          <w:rFonts w:hint="eastAsia" w:ascii="宋体" w:hAnsi="宋体" w:eastAsia="宋体" w:cs="宋体"/>
          <w:b w:val="0"/>
          <w:bCs w:val="0"/>
          <w:i w:val="0"/>
          <w:color w:val="000000"/>
          <w:sz w:val="24"/>
          <w:szCs w:val="24"/>
          <w:u w:val="none"/>
          <w:lang w:val="en-US" w:eastAsia="zh-CN"/>
        </w:rPr>
        <w:t>对DKI参数的影响有限，但对IVIM的灌注参数影响显著。</w:t>
      </w:r>
    </w:p>
    <w:p>
      <w:pPr>
        <w:spacing w:beforeLines="0" w:afterLines="0"/>
        <w:jc w:val="left"/>
        <w:rPr>
          <w:rFonts w:hint="eastAsia" w:ascii="宋体" w:hAnsi="宋体" w:eastAsia="宋体" w:cs="宋体"/>
          <w:b/>
          <w:bCs/>
          <w:i w:val="0"/>
          <w:color w:val="000000"/>
          <w:sz w:val="24"/>
          <w:szCs w:val="24"/>
          <w:u w:val="none"/>
          <w:lang w:val="en-US" w:eastAsia="zh-CN"/>
        </w:rPr>
      </w:pPr>
      <w:r>
        <w:rPr>
          <w:rFonts w:hint="eastAsia" w:ascii="宋体" w:hAnsi="宋体" w:eastAsia="宋体" w:cs="宋体"/>
          <w:b/>
          <w:bCs/>
          <w:sz w:val="24"/>
          <w:szCs w:val="24"/>
        </w:rPr>
        <w:t>【关键词】</w:t>
      </w:r>
      <w:r>
        <w:rPr>
          <w:rFonts w:hint="eastAsia" w:ascii="宋体" w:hAnsi="宋体" w:eastAsia="宋体" w:cs="宋体"/>
          <w:b/>
          <w:bCs/>
          <w:sz w:val="24"/>
          <w:szCs w:val="24"/>
          <w:lang w:val="en-US" w:eastAsia="zh-CN"/>
        </w:rPr>
        <w:t xml:space="preserve"> </w:t>
      </w:r>
      <w:r>
        <w:rPr>
          <w:rFonts w:hint="eastAsia" w:ascii="宋体" w:hAnsi="宋体" w:eastAsia="宋体" w:cs="宋体"/>
          <w:b/>
          <w:bCs/>
          <w:i w:val="0"/>
          <w:color w:val="000000"/>
          <w:sz w:val="24"/>
          <w:szCs w:val="24"/>
          <w:u w:val="none"/>
          <w:lang w:val="en-US" w:eastAsia="zh-CN"/>
        </w:rPr>
        <w:t>RPF 鼻咽癌 RESOLVE  IVIM  DKI</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b/>
          <w:i w:val="0"/>
          <w:caps w:val="0"/>
          <w:color w:val="333333"/>
          <w:spacing w:val="0"/>
          <w:sz w:val="24"/>
          <w:szCs w:val="24"/>
          <w:shd w:val="clear" w:fill="FFFFFF"/>
        </w:rPr>
        <w:t>Research progress of CT and MRI based imageomics in hepatocellular carcinoma</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b/>
          <w:i w:val="0"/>
          <w:caps w:val="0"/>
          <w:color w:val="333333"/>
          <w:spacing w:val="0"/>
          <w:sz w:val="24"/>
          <w:szCs w:val="24"/>
          <w:shd w:val="clear" w:fill="FFFFFF"/>
        </w:rPr>
        <w:t>Han Pan </w:t>
      </w:r>
      <w:r>
        <w:rPr>
          <w:rFonts w:hint="default" w:ascii="Times New Roman" w:hAnsi="Times New Roman" w:eastAsia="宋体" w:cs="Times New Roman"/>
          <w:b/>
          <w:i w:val="0"/>
          <w:caps w:val="0"/>
          <w:color w:val="333333"/>
          <w:spacing w:val="0"/>
          <w:sz w:val="24"/>
          <w:szCs w:val="24"/>
          <w:shd w:val="clear" w:fill="FFFFFF"/>
          <w:vertAlign w:val="superscript"/>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i w:val="0"/>
          <w:caps w:val="0"/>
          <w:color w:val="333333"/>
          <w:spacing w:val="0"/>
          <w:sz w:val="24"/>
          <w:szCs w:val="24"/>
          <w:shd w:val="clear" w:fill="FFFFFF"/>
        </w:rPr>
        <w:t>湖北省肿瘤医院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default" w:ascii="Times New Roman" w:hAnsi="Times New Roman" w:eastAsia="宋体" w:cs="Times New Roman"/>
          <w:i w:val="0"/>
          <w:caps w:val="0"/>
          <w:color w:val="333333"/>
          <w:spacing w:val="0"/>
          <w:sz w:val="24"/>
          <w:szCs w:val="24"/>
        </w:rPr>
      </w:pPr>
      <w:r>
        <w:rPr>
          <w:rFonts w:hint="default" w:ascii="Times New Roman" w:hAnsi="Times New Roman" w:eastAsia="宋体" w:cs="Times New Roman"/>
          <w:i w:val="0"/>
          <w:caps w:val="0"/>
          <w:color w:val="060000"/>
          <w:spacing w:val="0"/>
          <w:kern w:val="0"/>
          <w:sz w:val="24"/>
          <w:szCs w:val="24"/>
          <w:shd w:val="clear" w:fill="FFFFFF"/>
          <w:lang w:val="en-US" w:eastAsia="zh-CN" w:bidi="ar"/>
        </w:rPr>
        <w:t>Abstract Content：</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default" w:ascii="Times New Roman" w:hAnsi="Times New Roman" w:eastAsia="宋体" w:cs="Times New Roman"/>
          <w:sz w:val="24"/>
          <w:szCs w:val="24"/>
        </w:rPr>
      </w:pPr>
      <w:r>
        <w:rPr>
          <w:rFonts w:hint="default" w:ascii="Times New Roman" w:hAnsi="Times New Roman" w:eastAsia="宋体" w:cs="Times New Roman"/>
          <w:i w:val="0"/>
          <w:caps w:val="0"/>
          <w:color w:val="333333"/>
          <w:spacing w:val="0"/>
          <w:sz w:val="24"/>
          <w:szCs w:val="24"/>
          <w:shd w:val="clear" w:fill="FFFFFF"/>
        </w:rPr>
        <w:t>Liver cancer is one of the most common malignant tumors, the sixth most common cancer in the world, and the fourth cause of cancer death in the world. China accounts for more than half of the world's new liver cancer and death cases every year. The early symptoms of liver cancer were not obvious, and most of them were in the middle and late stage of treatment, thus losing the opportunity of radical operation. Some patients were diagnosed by biopsy, but these small samples were not able to obtain the biological characteristics of tumor completely because of the influence of tumor space and time heterogeneity. The non-individual non targeted treatment was only accepted by those without pathological examination. The lack of information about tumor molecular and gene level is an important obstacle for liver cancer diagnosis and treatment to enter the era of targeted therapy and immunotherapy.</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default" w:ascii="Times New Roman" w:hAnsi="Times New Roman" w:eastAsia="宋体" w:cs="Times New Roman"/>
          <w:sz w:val="24"/>
          <w:szCs w:val="24"/>
        </w:rPr>
      </w:pPr>
      <w:r>
        <w:rPr>
          <w:rFonts w:hint="default" w:ascii="Times New Roman" w:hAnsi="Times New Roman" w:eastAsia="宋体" w:cs="Times New Roman"/>
          <w:i w:val="0"/>
          <w:caps w:val="0"/>
          <w:color w:val="333333"/>
          <w:spacing w:val="0"/>
          <w:sz w:val="24"/>
          <w:szCs w:val="24"/>
          <w:shd w:val="clear" w:fill="FFFFFF"/>
        </w:rPr>
        <w:t>Imaging group is a technology that uses computer information technology to screen out the most valuable features from medical images, and convert them into high-dimensional quantitative image data, so as to obtain comprehensive information related to tumor. Its basic programs include image acquisition, interest region segmentation and reconstruction, feature extraction, screening and classification, model building and performance evaluation. Although imaging is still in the research stage, the characteristics and prediction models of histology are closely related to some tumor biological behaviors, molecular markers or prognosis of patients. It can provide information for optimizing treatment strategies and individualized and accurate treatment of patients, and has great potential for clinical application. This paper will review the recent research progress.</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default" w:ascii="Times New Roman" w:hAnsi="Times New Roman" w:eastAsia="宋体" w:cs="Times New Roman"/>
          <w:i w:val="0"/>
          <w:caps w:val="0"/>
          <w:color w:val="333333"/>
          <w:spacing w:val="0"/>
          <w:sz w:val="24"/>
          <w:szCs w:val="24"/>
        </w:rPr>
      </w:pPr>
      <w:r>
        <w:rPr>
          <w:rFonts w:hint="default" w:ascii="Times New Roman" w:hAnsi="Times New Roman" w:eastAsia="宋体" w:cs="Times New Roman"/>
          <w:i w:val="0"/>
          <w:caps w:val="0"/>
          <w:color w:val="060000"/>
          <w:spacing w:val="0"/>
          <w:sz w:val="24"/>
          <w:szCs w:val="24"/>
          <w:shd w:val="clear" w:fill="FFFFFF"/>
        </w:rPr>
        <w:t>Key words：</w:t>
      </w:r>
      <w:r>
        <w:rPr>
          <w:rFonts w:hint="default" w:ascii="Times New Roman" w:hAnsi="Times New Roman" w:eastAsia="宋体" w:cs="Times New Roman"/>
          <w:i w:val="0"/>
          <w:caps w:val="0"/>
          <w:color w:val="333333"/>
          <w:spacing w:val="0"/>
          <w:sz w:val="24"/>
          <w:szCs w:val="24"/>
          <w:shd w:val="clear" w:fill="FFFFFF"/>
        </w:rPr>
        <w:t>Radiomics; hepatocellular carcinoma; diagnosis; biomarker; prognosis</w:t>
      </w:r>
    </w:p>
    <w:p>
      <w:pPr>
        <w:rPr>
          <w:rFonts w:hint="eastAsia" w:ascii="宋体" w:hAnsi="宋体" w:eastAsia="宋体" w:cs="宋体"/>
          <w:sz w:val="24"/>
          <w:szCs w:val="24"/>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keepNext w:val="0"/>
        <w:keepLines w:val="0"/>
        <w:widowControl/>
        <w:suppressLineNumbers w:val="0"/>
        <w:spacing w:line="360" w:lineRule="auto"/>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MRI动态增强技术鉴别鼻咽癌放疗后纤维化及复发的价值分析</w:t>
      </w:r>
    </w:p>
    <w:p>
      <w:pPr>
        <w:keepNext w:val="0"/>
        <w:keepLines w:val="0"/>
        <w:widowControl/>
        <w:suppressLineNumbers w:val="0"/>
        <w:spacing w:line="360" w:lineRule="auto"/>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聂婷婷，湖北省肿瘤医院</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目的</w:t>
      </w:r>
      <w:r>
        <w:rPr>
          <w:rFonts w:hint="eastAsia" w:ascii="宋体" w:hAnsi="宋体" w:eastAsia="宋体" w:cs="宋体"/>
          <w:color w:val="000000"/>
          <w:kern w:val="0"/>
          <w:sz w:val="24"/>
          <w:szCs w:val="24"/>
          <w:lang w:val="en-US" w:eastAsia="zh-CN" w:bidi="ar"/>
        </w:rPr>
        <w:t>：探讨鼻咽癌放疗后行MRI动态增强扫描的临床意义。</w:t>
      </w:r>
      <w:r>
        <w:rPr>
          <w:rFonts w:hint="eastAsia" w:ascii="宋体" w:hAnsi="宋体" w:eastAsia="宋体" w:cs="宋体"/>
          <w:b/>
          <w:bCs/>
          <w:color w:val="000000"/>
          <w:kern w:val="0"/>
          <w:sz w:val="24"/>
          <w:szCs w:val="24"/>
          <w:lang w:val="en-US" w:eastAsia="zh-CN" w:bidi="ar"/>
        </w:rPr>
        <w:t>方法</w:t>
      </w:r>
      <w:r>
        <w:rPr>
          <w:rFonts w:hint="eastAsia" w:ascii="宋体" w:hAnsi="宋体" w:eastAsia="宋体" w:cs="宋体"/>
          <w:color w:val="000000"/>
          <w:kern w:val="0"/>
          <w:sz w:val="24"/>
          <w:szCs w:val="24"/>
          <w:lang w:val="en-US" w:eastAsia="zh-CN" w:bidi="ar"/>
        </w:rPr>
        <w:t>：择取我院2017年1月一2019年6月47例行放射治疗的鼻咽癌患者，全部入选病例放疗后均定期以MRI动态增强扫描复查，依据复查结果将入选病例分为A组(枕骨斜坡纤维化，29例)和B组(枕骨斜坡肿瘤复发，18例)，对比观察两组动态增强定量参数（TIC曲线最大斜率slopemax、到达时间Tmax、最大对比增强率MCER、40S时动态增强扫描对比增强率(CER），并利用卡方检验比较两者差异。</w:t>
      </w:r>
      <w:r>
        <w:rPr>
          <w:rFonts w:hint="eastAsia" w:ascii="宋体" w:hAnsi="宋体" w:eastAsia="宋体" w:cs="宋体"/>
          <w:b/>
          <w:bCs/>
          <w:color w:val="000000"/>
          <w:kern w:val="0"/>
          <w:sz w:val="24"/>
          <w:szCs w:val="24"/>
          <w:lang w:val="en-US" w:eastAsia="zh-CN" w:bidi="ar"/>
        </w:rPr>
        <w:t>结果</w:t>
      </w:r>
      <w:r>
        <w:rPr>
          <w:rFonts w:hint="eastAsia" w:ascii="宋体" w:hAnsi="宋体" w:eastAsia="宋体" w:cs="宋体"/>
          <w:color w:val="000000"/>
          <w:kern w:val="0"/>
          <w:sz w:val="24"/>
          <w:szCs w:val="24"/>
          <w:lang w:val="en-US" w:eastAsia="zh-CN" w:bidi="ar"/>
        </w:rPr>
        <w:t>：B组枕骨斜坡TIC参数slopemax(18．7±5．1)％／s、MCER(212．4±23．7)％、CER(193．1 ±20．7)％均高于A组，Tmax(48．6±7．3)S短于A组，差异有统计学意义(P&lt;0．05)。</w:t>
      </w:r>
      <w:r>
        <w:rPr>
          <w:rFonts w:hint="eastAsia" w:ascii="宋体" w:hAnsi="宋体" w:eastAsia="宋体" w:cs="宋体"/>
          <w:b/>
          <w:bCs/>
          <w:color w:val="000000"/>
          <w:kern w:val="0"/>
          <w:sz w:val="24"/>
          <w:szCs w:val="24"/>
          <w:lang w:val="en-US" w:eastAsia="zh-CN" w:bidi="ar"/>
        </w:rPr>
        <w:t>结论</w:t>
      </w:r>
      <w:r>
        <w:rPr>
          <w:rFonts w:hint="eastAsia" w:ascii="宋体" w:hAnsi="宋体" w:eastAsia="宋体" w:cs="宋体"/>
          <w:color w:val="000000"/>
          <w:kern w:val="0"/>
          <w:sz w:val="24"/>
          <w:szCs w:val="24"/>
          <w:lang w:val="en-US" w:eastAsia="zh-CN" w:bidi="ar"/>
        </w:rPr>
        <w:t xml:space="preserve">：MRI动态增强技术是诊断鉴别鼻咽癌放疗后枕骨斜坡肿瘤复发与纤维化的有效方法，能够为本病临床诊治与预后评估提供有价值的依据参考。 </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关键词：MRI；增强；鼻咽癌；放疗</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b/>
          <w:bCs/>
          <w:i w:val="0"/>
          <w:iCs w:val="0"/>
          <w:caps w:val="0"/>
          <w:color w:val="333333"/>
          <w:spacing w:val="0"/>
          <w:sz w:val="24"/>
          <w:szCs w:val="24"/>
          <w:shd w:val="clear" w:fill="FFFFFF"/>
        </w:rPr>
        <w:t>IVIM-DWI评估脑转移瘤立体定向放射治疗疗效价值的研究</w:t>
      </w:r>
      <w:r>
        <w:rPr>
          <w:rFonts w:hint="eastAsia" w:ascii="宋体" w:hAnsi="宋体" w:eastAsia="宋体" w:cs="宋体"/>
          <w:b/>
          <w:bCs/>
          <w:i w:val="0"/>
          <w:iCs w:val="0"/>
          <w:caps w:val="0"/>
          <w:color w:val="333333"/>
          <w:spacing w:val="0"/>
          <w:sz w:val="24"/>
          <w:szCs w:val="24"/>
          <w:shd w:val="clear" w:fill="FFFFFF"/>
          <w:lang w:val="en-US" w:eastAsia="zh-CN"/>
        </w:rPr>
        <w:t>(</w:t>
      </w:r>
      <w:r>
        <w:rPr>
          <w:rFonts w:hint="eastAsia" w:ascii="宋体" w:hAnsi="宋体" w:eastAsia="宋体" w:cs="宋体"/>
          <w:b/>
          <w:bCs/>
          <w:i w:val="0"/>
          <w:iCs w:val="0"/>
          <w:caps w:val="0"/>
          <w:color w:val="333333"/>
          <w:spacing w:val="0"/>
          <w:sz w:val="24"/>
          <w:szCs w:val="24"/>
          <w:shd w:val="clear" w:fill="FFFFFF"/>
        </w:rPr>
        <w:t>ID</w:t>
      </w:r>
      <w:r>
        <w:rPr>
          <w:rFonts w:hint="eastAsia" w:ascii="宋体" w:hAnsi="宋体" w:eastAsia="宋体" w:cs="宋体"/>
          <w:b/>
          <w:bCs/>
          <w:i w:val="0"/>
          <w:iCs w:val="0"/>
          <w:caps w:val="0"/>
          <w:color w:val="333333"/>
          <w:spacing w:val="0"/>
          <w:sz w:val="24"/>
          <w:szCs w:val="24"/>
          <w:shd w:val="clear" w:fill="FFFFFF"/>
          <w:lang w:val="en-US" w:eastAsia="zh-CN"/>
        </w:rPr>
        <w:t>5806)</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bCs/>
          <w:i w:val="0"/>
          <w:iCs w:val="0"/>
          <w:caps w:val="0"/>
          <w:color w:val="333333"/>
          <w:spacing w:val="0"/>
          <w:sz w:val="24"/>
          <w:szCs w:val="24"/>
          <w:shd w:val="clear" w:fill="FFFFFF"/>
        </w:rPr>
        <w:t>邓文友</w:t>
      </w:r>
      <w:r>
        <w:rPr>
          <w:rFonts w:hint="eastAsia" w:ascii="宋体" w:hAnsi="宋体" w:eastAsia="宋体" w:cs="宋体"/>
          <w:b/>
          <w:bCs/>
          <w:i w:val="0"/>
          <w:iCs w:val="0"/>
          <w:caps w:val="0"/>
          <w:color w:val="333333"/>
          <w:spacing w:val="0"/>
          <w:sz w:val="24"/>
          <w:szCs w:val="24"/>
          <w:shd w:val="clear" w:fill="FFFFFF"/>
          <w:vertAlign w:val="superscript"/>
        </w:rPr>
        <w:t>*</w:t>
      </w:r>
      <w:r>
        <w:rPr>
          <w:rFonts w:hint="eastAsia" w:ascii="宋体" w:hAnsi="宋体" w:eastAsia="宋体" w:cs="宋体"/>
          <w:b/>
          <w:bCs/>
          <w:i w:val="0"/>
          <w:iCs w:val="0"/>
          <w:caps w:val="0"/>
          <w:color w:val="333333"/>
          <w:spacing w:val="0"/>
          <w:sz w:val="24"/>
          <w:szCs w:val="24"/>
          <w:shd w:val="clear" w:fill="FFFFFF"/>
        </w:rPr>
        <w:t>, 陈长春 , 刘玉林</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bCs/>
          <w:i w:val="0"/>
          <w:iCs w:val="0"/>
          <w:caps w:val="0"/>
          <w:color w:val="333333"/>
          <w:spacing w:val="0"/>
          <w:sz w:val="24"/>
          <w:szCs w:val="24"/>
          <w:shd w:val="clear" w:fill="FFFFFF"/>
        </w:rPr>
        <w:t>湖北省肿瘤医院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sz w:val="24"/>
          <w:szCs w:val="24"/>
        </w:rPr>
      </w:pPr>
      <w:r>
        <w:rPr>
          <w:rFonts w:hint="eastAsia" w:ascii="宋体" w:hAnsi="宋体" w:eastAsia="宋体" w:cs="宋体"/>
          <w:b/>
          <w:bCs/>
          <w:i w:val="0"/>
          <w:iCs w:val="0"/>
          <w:caps w:val="0"/>
          <w:color w:val="060000"/>
          <w:spacing w:val="0"/>
          <w:kern w:val="0"/>
          <w:sz w:val="24"/>
          <w:szCs w:val="24"/>
          <w:shd w:val="clear" w:fill="FFFFFF"/>
          <w:lang w:val="en-US" w:eastAsia="zh-CN" w:bidi="ar"/>
        </w:rPr>
        <w:t>目的</w:t>
      </w:r>
      <w:r>
        <w:rPr>
          <w:rFonts w:hint="eastAsia" w:ascii="宋体" w:hAnsi="宋体" w:eastAsia="宋体" w:cs="宋体"/>
          <w:i w:val="0"/>
          <w:iCs w:val="0"/>
          <w:caps w:val="0"/>
          <w:color w:val="060000"/>
          <w:spacing w:val="0"/>
          <w:kern w:val="0"/>
          <w:sz w:val="24"/>
          <w:szCs w:val="24"/>
          <w:shd w:val="clear" w:fill="FFFFFF"/>
          <w:lang w:val="en-US" w:eastAsia="zh-CN" w:bidi="ar"/>
        </w:rPr>
        <w:t>：</w:t>
      </w:r>
      <w:r>
        <w:rPr>
          <w:rFonts w:hint="eastAsia" w:ascii="宋体" w:hAnsi="宋体" w:eastAsia="宋体" w:cs="宋体"/>
          <w:i w:val="0"/>
          <w:iCs w:val="0"/>
          <w:caps w:val="0"/>
          <w:color w:val="333333"/>
          <w:spacing w:val="0"/>
          <w:sz w:val="24"/>
          <w:szCs w:val="24"/>
          <w:shd w:val="clear" w:fill="FFFFFF"/>
        </w:rPr>
        <w:t>探究体素内不相干运动扩散加权成像(intravoxel incoherent motion diffusion weighted imaging,IVIM-DWI)技术在脑转移瘤立体定向放射治疗疗效评估的价值。</w:t>
      </w:r>
      <w:r>
        <w:rPr>
          <w:rFonts w:hint="eastAsia" w:ascii="宋体" w:hAnsi="宋体" w:eastAsia="宋体" w:cs="宋体"/>
          <w:b/>
          <w:bCs/>
          <w:i w:val="0"/>
          <w:iCs w:val="0"/>
          <w:caps w:val="0"/>
          <w:color w:val="060000"/>
          <w:spacing w:val="0"/>
          <w:kern w:val="0"/>
          <w:sz w:val="24"/>
          <w:szCs w:val="24"/>
          <w:shd w:val="clear" w:fill="FFFFFF"/>
          <w:lang w:val="en-US" w:eastAsia="zh-CN" w:bidi="ar"/>
        </w:rPr>
        <w:t>方法</w:t>
      </w:r>
      <w:r>
        <w:rPr>
          <w:rFonts w:hint="eastAsia" w:ascii="宋体" w:hAnsi="宋体" w:eastAsia="宋体" w:cs="宋体"/>
          <w:i w:val="0"/>
          <w:iCs w:val="0"/>
          <w:caps w:val="0"/>
          <w:color w:val="060000"/>
          <w:spacing w:val="0"/>
          <w:kern w:val="0"/>
          <w:sz w:val="24"/>
          <w:szCs w:val="24"/>
          <w:shd w:val="clear" w:fill="FFFFFF"/>
          <w:lang w:val="en-US" w:eastAsia="zh-CN" w:bidi="ar"/>
        </w:rPr>
        <w:t>：</w:t>
      </w:r>
      <w:r>
        <w:rPr>
          <w:rFonts w:hint="eastAsia" w:ascii="宋体" w:hAnsi="宋体" w:eastAsia="宋体" w:cs="宋体"/>
          <w:i w:val="0"/>
          <w:iCs w:val="0"/>
          <w:caps w:val="0"/>
          <w:color w:val="333333"/>
          <w:spacing w:val="0"/>
          <w:sz w:val="24"/>
          <w:szCs w:val="24"/>
          <w:shd w:val="clear" w:fill="FFFFFF"/>
        </w:rPr>
        <w:t>收集自2017年12月至2020年9月符合纳入要求的我院预接受放射治疗的脑转移瘤患者28例，入组患者均采用立体定向放射治疗方法，分别在放疗前1周、放疗结束及放疗后3月进行连续性随访MRI常规平扫加增强及10个b值(0,50,100,200,300,500,800,1000,1200,1500 s/mm</w:t>
      </w:r>
      <w:r>
        <w:rPr>
          <w:rFonts w:hint="eastAsia" w:ascii="宋体" w:hAnsi="宋体" w:eastAsia="宋体" w:cs="宋体"/>
          <w:i w:val="0"/>
          <w:iCs w:val="0"/>
          <w:caps w:val="0"/>
          <w:color w:val="333333"/>
          <w:spacing w:val="0"/>
          <w:sz w:val="24"/>
          <w:szCs w:val="24"/>
          <w:shd w:val="clear" w:fill="FFFFFF"/>
          <w:vertAlign w:val="superscript"/>
        </w:rPr>
        <w:t>2</w:t>
      </w:r>
      <w:r>
        <w:rPr>
          <w:rFonts w:hint="eastAsia" w:ascii="宋体" w:hAnsi="宋体" w:eastAsia="宋体" w:cs="宋体"/>
          <w:i w:val="0"/>
          <w:iCs w:val="0"/>
          <w:caps w:val="0"/>
          <w:color w:val="333333"/>
          <w:spacing w:val="0"/>
          <w:sz w:val="24"/>
          <w:szCs w:val="24"/>
          <w:shd w:val="clear" w:fill="FFFFFF"/>
        </w:rPr>
        <w:t>)的IVIM-DWI序列扫描，分别测量有效靶病灶长径、病灶实性部分的表观扩散系数(apparent diffiusion coefficent,ADC)、慢速扩散系数D(slow ADC)、快速扩散系数D*(fast ADC)、灌注分数f（Fraction of fast ADC），统计学方法采用单因素方差分析LSD- t检验，以P＜0.05为统计学标准。</w:t>
      </w:r>
      <w:r>
        <w:rPr>
          <w:rFonts w:hint="eastAsia" w:ascii="宋体" w:hAnsi="宋体" w:eastAsia="宋体" w:cs="宋体"/>
          <w:b/>
          <w:bCs/>
          <w:i w:val="0"/>
          <w:iCs w:val="0"/>
          <w:caps w:val="0"/>
          <w:color w:val="060000"/>
          <w:spacing w:val="0"/>
          <w:kern w:val="0"/>
          <w:sz w:val="24"/>
          <w:szCs w:val="24"/>
          <w:shd w:val="clear" w:fill="FFFFFF"/>
          <w:lang w:val="en-US" w:eastAsia="zh-CN" w:bidi="ar"/>
        </w:rPr>
        <w:t>结果</w:t>
      </w:r>
      <w:r>
        <w:rPr>
          <w:rFonts w:hint="eastAsia" w:ascii="宋体" w:hAnsi="宋体" w:eastAsia="宋体" w:cs="宋体"/>
          <w:i w:val="0"/>
          <w:iCs w:val="0"/>
          <w:caps w:val="0"/>
          <w:color w:val="060000"/>
          <w:spacing w:val="0"/>
          <w:kern w:val="0"/>
          <w:sz w:val="24"/>
          <w:szCs w:val="24"/>
          <w:shd w:val="clear" w:fill="FFFFFF"/>
          <w:lang w:val="en-US" w:eastAsia="zh-CN" w:bidi="ar"/>
        </w:rPr>
        <w:t>：</w:t>
      </w:r>
      <w:r>
        <w:rPr>
          <w:rFonts w:hint="eastAsia" w:ascii="宋体" w:hAnsi="宋体" w:eastAsia="宋体" w:cs="宋体"/>
          <w:i w:val="0"/>
          <w:iCs w:val="0"/>
          <w:caps w:val="0"/>
          <w:color w:val="333333"/>
          <w:spacing w:val="0"/>
          <w:sz w:val="24"/>
          <w:szCs w:val="24"/>
          <w:shd w:val="clear" w:fill="FFFFFF"/>
        </w:rPr>
        <w:t>所有患者放疗前1周、放疗结束及放疗后3月的三组之间靶病灶长径缩小（P＜0.05）差异有显著性，放疗结束、放疗后3月较放疗前1周组ADC值升高（P＜0.05），放疗后3月组较放疗前1周组D*及f值减低（P＜0.05），放疗结束、放疗后3月与放疗前1周组D值差异无显著性。</w:t>
      </w:r>
      <w:r>
        <w:rPr>
          <w:rFonts w:hint="eastAsia" w:ascii="宋体" w:hAnsi="宋体" w:eastAsia="宋体" w:cs="宋体"/>
          <w:b/>
          <w:bCs/>
          <w:i w:val="0"/>
          <w:iCs w:val="0"/>
          <w:caps w:val="0"/>
          <w:color w:val="060000"/>
          <w:spacing w:val="0"/>
          <w:kern w:val="0"/>
          <w:sz w:val="24"/>
          <w:szCs w:val="24"/>
          <w:shd w:val="clear" w:fill="FFFFFF"/>
          <w:lang w:val="en-US" w:eastAsia="zh-CN" w:bidi="ar"/>
        </w:rPr>
        <w:t>结论</w:t>
      </w:r>
      <w:r>
        <w:rPr>
          <w:rFonts w:hint="eastAsia" w:ascii="宋体" w:hAnsi="宋体" w:eastAsia="宋体" w:cs="宋体"/>
          <w:i w:val="0"/>
          <w:iCs w:val="0"/>
          <w:caps w:val="0"/>
          <w:color w:val="060000"/>
          <w:spacing w:val="0"/>
          <w:kern w:val="0"/>
          <w:sz w:val="24"/>
          <w:szCs w:val="24"/>
          <w:shd w:val="clear" w:fill="FFFFFF"/>
          <w:lang w:val="en-US" w:eastAsia="zh-CN" w:bidi="ar"/>
        </w:rPr>
        <w:t>：</w:t>
      </w:r>
      <w:r>
        <w:rPr>
          <w:rFonts w:hint="eastAsia" w:ascii="宋体" w:hAnsi="宋体" w:eastAsia="宋体" w:cs="宋体"/>
          <w:i w:val="0"/>
          <w:iCs w:val="0"/>
          <w:caps w:val="0"/>
          <w:color w:val="333333"/>
          <w:spacing w:val="0"/>
          <w:sz w:val="24"/>
          <w:szCs w:val="24"/>
          <w:shd w:val="clear" w:fill="FFFFFF"/>
        </w:rPr>
        <w:t>IVIM-DWI技术可无创性探测脑转移瘤放疗后细胞及周围组织灌注与扩散信号的改变，对肿瘤的治疗评估有一定临床价值。</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60000"/>
          <w:spacing w:val="0"/>
          <w:sz w:val="24"/>
          <w:szCs w:val="24"/>
          <w:shd w:val="clear" w:fill="FFFFFF"/>
        </w:rPr>
        <w:t>关键字：</w:t>
      </w:r>
      <w:r>
        <w:rPr>
          <w:rFonts w:hint="eastAsia" w:ascii="宋体" w:hAnsi="宋体" w:eastAsia="宋体" w:cs="宋体"/>
          <w:i w:val="0"/>
          <w:iCs w:val="0"/>
          <w:caps w:val="0"/>
          <w:color w:val="333333"/>
          <w:spacing w:val="0"/>
          <w:sz w:val="24"/>
          <w:szCs w:val="24"/>
          <w:shd w:val="clear" w:fill="FFFFFF"/>
        </w:rPr>
        <w:t>脑转移瘤；扩散成像；磁共振；立体定向放射</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jc w:val="center"/>
        <w:rPr>
          <w:rFonts w:hint="default" w:ascii="Times New Roman" w:hAnsi="Times New Roman" w:eastAsia="宋体" w:cs="Times New Roman"/>
          <w:b/>
          <w:color w:val="333333"/>
          <w:sz w:val="24"/>
          <w:szCs w:val="24"/>
          <w:shd w:val="clear" w:color="auto" w:fill="FFFFFF"/>
        </w:rPr>
      </w:pPr>
      <w:r>
        <w:rPr>
          <w:rFonts w:hint="default" w:ascii="Times New Roman" w:hAnsi="Times New Roman" w:eastAsia="宋体" w:cs="Times New Roman"/>
          <w:b/>
          <w:color w:val="333333"/>
          <w:sz w:val="24"/>
          <w:szCs w:val="24"/>
          <w:shd w:val="clear" w:color="auto" w:fill="FFFFFF"/>
        </w:rPr>
        <w:t>Effect of different ROI labeling methods on ADC value in MRI-DWI of cervical cancer</w:t>
      </w:r>
    </w:p>
    <w:p>
      <w:pPr>
        <w:pStyle w:val="9"/>
        <w:widowControl/>
        <w:jc w:val="center"/>
        <w:rPr>
          <w:rFonts w:hint="default" w:ascii="Times New Roman" w:hAnsi="Times New Roman" w:eastAsia="宋体" w:cs="Times New Roman"/>
          <w:sz w:val="24"/>
          <w:szCs w:val="24"/>
        </w:rPr>
      </w:pPr>
      <w:r>
        <w:rPr>
          <w:rFonts w:hint="default" w:ascii="Times New Roman" w:hAnsi="Times New Roman" w:eastAsia="宋体" w:cs="Times New Roman"/>
          <w:b/>
          <w:color w:val="333333"/>
          <w:sz w:val="24"/>
          <w:szCs w:val="24"/>
          <w:shd w:val="clear" w:color="auto" w:fill="FFFFFF"/>
        </w:rPr>
        <w:t>Han Pan</w:t>
      </w:r>
      <w:r>
        <w:rPr>
          <w:rFonts w:hint="default" w:ascii="Times New Roman" w:hAnsi="Times New Roman" w:eastAsia="宋体" w:cs="Times New Roman"/>
          <w:b/>
          <w:color w:val="333333"/>
          <w:sz w:val="24"/>
          <w:szCs w:val="24"/>
          <w:shd w:val="clear" w:color="auto" w:fill="FFFFFF"/>
          <w:vertAlign w:val="superscript"/>
        </w:rPr>
        <w:t>*</w:t>
      </w:r>
    </w:p>
    <w:p>
      <w:pPr>
        <w:pStyle w:val="9"/>
        <w:widowControl/>
        <w:jc w:val="center"/>
        <w:rPr>
          <w:rFonts w:hint="default" w:ascii="Times New Roman" w:hAnsi="Times New Roman" w:eastAsia="宋体" w:cs="Times New Roman"/>
          <w:sz w:val="24"/>
          <w:szCs w:val="24"/>
        </w:rPr>
      </w:pPr>
      <w:r>
        <w:rPr>
          <w:rFonts w:hint="default" w:ascii="Times New Roman" w:hAnsi="Times New Roman" w:eastAsia="宋体" w:cs="Times New Roman"/>
          <w:b/>
          <w:color w:val="333333"/>
          <w:sz w:val="24"/>
          <w:szCs w:val="24"/>
          <w:shd w:val="clear" w:color="auto" w:fill="FFFFFF"/>
        </w:rPr>
        <w:t>湖北省肿瘤医院</w:t>
      </w:r>
    </w:p>
    <w:p>
      <w:pPr>
        <w:jc w:val="center"/>
        <w:rPr>
          <w:rFonts w:hint="default" w:ascii="Times New Roman" w:hAnsi="Times New Roman" w:eastAsia="宋体" w:cs="Times New Roman"/>
          <w:b/>
          <w:color w:val="333333"/>
          <w:sz w:val="24"/>
          <w:szCs w:val="24"/>
          <w:shd w:val="clear" w:color="auto" w:fill="FFFFFF"/>
        </w:rPr>
      </w:pPr>
    </w:p>
    <w:p>
      <w:pPr>
        <w:pStyle w:val="9"/>
        <w:widowControl/>
        <w:spacing w:beforeAutospacing="0" w:after="10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b/>
          <w:bCs/>
          <w:color w:val="333333"/>
          <w:sz w:val="24"/>
          <w:szCs w:val="24"/>
          <w:shd w:val="clear" w:color="auto" w:fill="FFFFFF"/>
        </w:rPr>
        <w:t>objective</w:t>
      </w:r>
      <w:r>
        <w:rPr>
          <w:rFonts w:hint="default" w:ascii="Times New Roman" w:hAnsi="Times New Roman" w:eastAsia="宋体" w:cs="Times New Roman"/>
          <w:color w:val="333333"/>
          <w:sz w:val="24"/>
          <w:szCs w:val="24"/>
          <w:shd w:val="clear" w:color="auto" w:fill="FFFFFF"/>
        </w:rPr>
        <w:t>:Evaluate the intra-observer reproducibility of apparent diffusion coefficient (ADC) values measured by different methods of checking the region of interest (ROI) in cervical cancer magnetic resonance diffusion weighted imaging (DWI).</w:t>
      </w:r>
    </w:p>
    <w:p>
      <w:pPr>
        <w:pStyle w:val="9"/>
        <w:widowControl/>
        <w:spacing w:beforeAutospacing="0" w:after="10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b/>
          <w:bCs/>
          <w:color w:val="333333"/>
          <w:sz w:val="24"/>
          <w:szCs w:val="24"/>
          <w:shd w:val="clear" w:color="auto" w:fill="FFFFFF"/>
        </w:rPr>
        <w:t> Methods</w:t>
      </w:r>
      <w:r>
        <w:rPr>
          <w:rFonts w:hint="default" w:ascii="Times New Roman" w:hAnsi="Times New Roman" w:eastAsia="宋体" w:cs="Times New Roman"/>
          <w:color w:val="333333"/>
          <w:sz w:val="24"/>
          <w:szCs w:val="24"/>
          <w:shd w:val="clear" w:color="auto" w:fill="FFFFFF"/>
        </w:rPr>
        <w:t>:15 cases of cervical cancer DWI images using 4 ROI selection methods to obtain ADC values.The 4 methods are the following ways.The 10-point method is to randomly select 10 circular ROIs within the range of the tumor lesion, with an area of 15-25mm2. The volume method is to manually check the region of interest along the inner edge of the lesion at all slices（Cross-section）. The single-layer method is to check the maximum cross-section of the lesion.The 3-point method is to randomly select three circular ROIs with an area of 15-50mm2 at the largest slice of the tumor or adjacent slices. All the tumor necrosis and cavity are excluded, and the weighted ADC average is calculated according to the area.After 10 to 15 days, the same doctor again measured in the same way. ANOVA was used to compare the differences in ADC values of the various methods. The reproducibility evaluation was performed using the Bland Altman method. Calculate the coefficient of variation (CV), the intra-group correlation coefficient (ICC) and the 95% variation interval of the ADC values of different ROI selection methods in the two measurements.</w:t>
      </w:r>
    </w:p>
    <w:p>
      <w:pPr>
        <w:pStyle w:val="9"/>
        <w:widowControl/>
        <w:spacing w:beforeAutospacing="0" w:after="10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color w:val="333333"/>
          <w:sz w:val="24"/>
          <w:szCs w:val="24"/>
          <w:shd w:val="clear" w:color="auto" w:fill="FFFFFF"/>
        </w:rPr>
        <w:t> </w:t>
      </w:r>
      <w:r>
        <w:rPr>
          <w:rFonts w:hint="default" w:ascii="Times New Roman" w:hAnsi="Times New Roman" w:eastAsia="宋体" w:cs="Times New Roman"/>
          <w:b/>
          <w:bCs/>
          <w:color w:val="333333"/>
          <w:sz w:val="24"/>
          <w:szCs w:val="24"/>
          <w:shd w:val="clear" w:color="auto" w:fill="FFFFFF"/>
        </w:rPr>
        <w:t>Results</w:t>
      </w:r>
      <w:r>
        <w:rPr>
          <w:rFonts w:hint="default" w:ascii="Times New Roman" w:hAnsi="Times New Roman" w:eastAsia="宋体" w:cs="Times New Roman"/>
          <w:color w:val="333333"/>
          <w:sz w:val="24"/>
          <w:szCs w:val="24"/>
          <w:shd w:val="clear" w:color="auto" w:fill="FFFFFF"/>
        </w:rPr>
        <w:t>:In the first measurement, the ADC values（mm2/s） of the 10-point method,the volume method,the single-layer method, and the 3-point method were 1.247±0.436, 1.400±0.345, 1.476±0.384, 1.289±0.526. The ADC values（mm2/s） for the second measurement were 1.240±0.450, 1.404±0.362, 1.421±0.439, 1.271±0.46. The analysis of variance F=1.594, P=0.195. The CV(%) measured before and after the four methods were 13.247,6.026,9.006,19.961; the ICC and its 95%CI were 0.920(0.762,0.973), 0.969(0.906,0.989), 0.949(0.847,0.983), 0.836(0.510,0.945).</w:t>
      </w:r>
    </w:p>
    <w:p>
      <w:pPr>
        <w:pStyle w:val="9"/>
        <w:widowControl/>
        <w:spacing w:beforeAutospacing="0" w:after="10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color w:val="333333"/>
          <w:sz w:val="24"/>
          <w:szCs w:val="24"/>
          <w:shd w:val="clear" w:color="auto" w:fill="FFFFFF"/>
        </w:rPr>
        <w:t> </w:t>
      </w:r>
      <w:r>
        <w:rPr>
          <w:rFonts w:hint="default" w:ascii="Times New Roman" w:hAnsi="Times New Roman" w:eastAsia="宋体" w:cs="Times New Roman"/>
          <w:b/>
          <w:bCs/>
          <w:color w:val="333333"/>
          <w:sz w:val="24"/>
          <w:szCs w:val="24"/>
          <w:shd w:val="clear" w:color="auto" w:fill="FFFFFF"/>
        </w:rPr>
        <w:t>Conclusion</w:t>
      </w:r>
      <w:r>
        <w:rPr>
          <w:rFonts w:hint="default" w:ascii="Times New Roman" w:hAnsi="Times New Roman" w:eastAsia="宋体" w:cs="Times New Roman"/>
          <w:color w:val="333333"/>
          <w:sz w:val="24"/>
          <w:szCs w:val="24"/>
          <w:shd w:val="clear" w:color="auto" w:fill="FFFFFF"/>
        </w:rPr>
        <w:t>:The 10-point method,the volume method, the single-layer method, and the 3-point method have no statistical differences in measuring ADC values. The 10-point method,the volume method, and the single-layer method have good intra-observer reproducibility, and are recommended for obtaining ADCs of ROI in cervical cancer.</w:t>
      </w:r>
    </w:p>
    <w:p>
      <w:pPr>
        <w:pStyle w:val="9"/>
        <w:widowControl/>
        <w:shd w:val="clear" w:color="auto" w:fill="FFFFFF"/>
        <w:spacing w:beforeAutospacing="0" w:after="100" w:afterAutospacing="0"/>
        <w:jc w:val="both"/>
        <w:rPr>
          <w:rFonts w:hint="default" w:ascii="Times New Roman" w:hAnsi="Times New Roman" w:eastAsia="宋体" w:cs="Times New Roman"/>
          <w:color w:val="333333"/>
          <w:sz w:val="24"/>
          <w:szCs w:val="24"/>
          <w:shd w:val="clear" w:color="auto" w:fill="FFFFFF"/>
        </w:rPr>
      </w:pPr>
      <w:r>
        <w:rPr>
          <w:rFonts w:hint="default" w:ascii="Times New Roman" w:hAnsi="Times New Roman" w:eastAsia="宋体" w:cs="Times New Roman"/>
          <w:color w:val="060000"/>
          <w:sz w:val="24"/>
          <w:szCs w:val="24"/>
          <w:shd w:val="clear" w:color="auto" w:fill="FFFFFF"/>
        </w:rPr>
        <w:t>Key words：</w:t>
      </w:r>
      <w:r>
        <w:rPr>
          <w:rFonts w:hint="default" w:ascii="Times New Roman" w:hAnsi="Times New Roman" w:eastAsia="宋体" w:cs="Times New Roman"/>
          <w:color w:val="333333"/>
          <w:sz w:val="24"/>
          <w:szCs w:val="24"/>
          <w:shd w:val="clear" w:color="auto" w:fill="FFFFFF"/>
        </w:rPr>
        <w:t>region of interest; cervical cancer; diffusion-weighted imaging; repeatability; apparent diffusion coefficient</w:t>
      </w:r>
    </w:p>
    <w:p>
      <w:pPr>
        <w:pStyle w:val="9"/>
        <w:widowControl/>
        <w:shd w:val="clear" w:color="auto" w:fill="FFFFFF"/>
        <w:spacing w:beforeAutospacing="0" w:after="100" w:afterAutospacing="0"/>
        <w:jc w:val="both"/>
        <w:rPr>
          <w:rFonts w:hint="default" w:ascii="Times New Roman" w:hAnsi="Times New Roman" w:eastAsia="宋体" w:cs="Times New Roman"/>
          <w:color w:val="333333"/>
          <w:sz w:val="24"/>
          <w:szCs w:val="24"/>
          <w:shd w:val="clear" w:color="auto" w:fill="FFFFFF"/>
        </w:rPr>
      </w:pPr>
    </w:p>
    <w:p>
      <w:pPr>
        <w:pStyle w:val="9"/>
        <w:widowControl/>
        <w:shd w:val="clear" w:color="auto" w:fill="FFFFFF"/>
        <w:spacing w:beforeAutospacing="0" w:after="100" w:afterAutospacing="0"/>
        <w:jc w:val="both"/>
        <w:rPr>
          <w:rFonts w:hint="default" w:ascii="Times New Roman" w:hAnsi="Times New Roman" w:eastAsia="宋体" w:cs="Times New Roman"/>
          <w:color w:val="333333"/>
          <w:sz w:val="24"/>
          <w:szCs w:val="24"/>
          <w:shd w:val="clear" w:color="auto" w:fill="FFFFFF"/>
        </w:rPr>
      </w:pPr>
    </w:p>
    <w:p>
      <w:pPr>
        <w:pStyle w:val="9"/>
        <w:widowControl/>
        <w:shd w:val="clear" w:color="auto" w:fill="FFFFFF"/>
        <w:spacing w:beforeAutospacing="0" w:after="100" w:afterAutospacing="0"/>
        <w:jc w:val="both"/>
        <w:rPr>
          <w:rFonts w:hint="default" w:ascii="Times New Roman" w:hAnsi="Times New Roman" w:eastAsia="宋体" w:cs="Times New Roman"/>
          <w:color w:val="333333"/>
          <w:sz w:val="24"/>
          <w:szCs w:val="24"/>
          <w:shd w:val="clear" w:color="auto" w:fill="FFFFFF"/>
        </w:rPr>
      </w:pPr>
    </w:p>
    <w:p>
      <w:pPr>
        <w:jc w:val="left"/>
        <w:rPr>
          <w:rFonts w:hint="default" w:ascii="Times New Roman" w:hAnsi="Times New Roman" w:eastAsia="宋体" w:cs="Times New Roman"/>
          <w:b/>
          <w:color w:val="333333"/>
          <w:sz w:val="24"/>
          <w:szCs w:val="24"/>
          <w:shd w:val="clear" w:color="auto" w:fill="FFFFFF"/>
        </w:rPr>
      </w:pPr>
    </w:p>
    <w:p>
      <w:pPr>
        <w:jc w:val="center"/>
        <w:rPr>
          <w:rFonts w:hint="default" w:ascii="Times New Roman" w:hAnsi="Times New Roman" w:eastAsia="宋体" w:cs="Times New Roman"/>
          <w:b/>
          <w:i w:val="0"/>
          <w:caps w:val="0"/>
          <w:color w:val="333333"/>
          <w:spacing w:val="0"/>
          <w:sz w:val="24"/>
          <w:szCs w:val="24"/>
          <w:shd w:val="clear" w:fill="FFFFFF"/>
        </w:rPr>
      </w:pPr>
      <w:r>
        <w:rPr>
          <w:rFonts w:hint="default" w:ascii="Times New Roman" w:hAnsi="Times New Roman" w:eastAsia="宋体" w:cs="Times New Roman"/>
          <w:b/>
          <w:i w:val="0"/>
          <w:caps w:val="0"/>
          <w:color w:val="333333"/>
          <w:spacing w:val="0"/>
          <w:sz w:val="24"/>
          <w:szCs w:val="24"/>
          <w:shd w:val="clear" w:fill="FFFFFF"/>
        </w:rPr>
        <w:t>Application of CT-guided methylene blue mixed medical glue to mark pulmonary nodules in preoperative positioning of thoracoscopic surgery</w:t>
      </w:r>
    </w:p>
    <w:p>
      <w:pPr>
        <w:rPr>
          <w:rFonts w:hint="default" w:ascii="Times New Roman" w:hAnsi="Times New Roman" w:eastAsia="宋体" w:cs="Times New Roman"/>
          <w:b/>
          <w:i w:val="0"/>
          <w:caps w:val="0"/>
          <w:color w:val="333333"/>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b/>
          <w:i w:val="0"/>
          <w:caps w:val="0"/>
          <w:color w:val="333333"/>
          <w:spacing w:val="0"/>
          <w:sz w:val="24"/>
          <w:szCs w:val="24"/>
          <w:shd w:val="clear" w:fill="FFFFFF"/>
        </w:rPr>
        <w:t>Han Pan </w:t>
      </w:r>
      <w:r>
        <w:rPr>
          <w:rFonts w:hint="default" w:ascii="Times New Roman" w:hAnsi="Times New Roman" w:eastAsia="宋体" w:cs="Times New Roman"/>
          <w:b/>
          <w:i w:val="0"/>
          <w:caps w:val="0"/>
          <w:color w:val="333333"/>
          <w:spacing w:val="0"/>
          <w:sz w:val="24"/>
          <w:szCs w:val="24"/>
          <w:shd w:val="clear" w:fill="FFFFFF"/>
          <w:vertAlign w:val="superscript"/>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b/>
          <w:i w:val="0"/>
          <w:caps w:val="0"/>
          <w:color w:val="333333"/>
          <w:spacing w:val="0"/>
          <w:sz w:val="24"/>
          <w:szCs w:val="24"/>
          <w:shd w:val="clear" w:fill="FFFFFF"/>
        </w:rPr>
        <w:t>湖北省肿瘤医院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default" w:ascii="Times New Roman" w:hAnsi="Times New Roman" w:eastAsia="宋体" w:cs="Times New Roman"/>
          <w:i w:val="0"/>
          <w:caps w:val="0"/>
          <w:color w:val="333333"/>
          <w:spacing w:val="0"/>
          <w:sz w:val="24"/>
          <w:szCs w:val="24"/>
        </w:rPr>
      </w:pPr>
      <w:r>
        <w:rPr>
          <w:rFonts w:hint="default" w:ascii="Times New Roman" w:hAnsi="Times New Roman" w:eastAsia="宋体" w:cs="Times New Roman"/>
          <w:i w:val="0"/>
          <w:caps w:val="0"/>
          <w:color w:val="060000"/>
          <w:spacing w:val="0"/>
          <w:kern w:val="0"/>
          <w:sz w:val="24"/>
          <w:szCs w:val="24"/>
          <w:shd w:val="clear" w:fill="FFFFFF"/>
          <w:lang w:val="en-US" w:eastAsia="zh-CN" w:bidi="ar"/>
        </w:rPr>
        <w:t>Abstract Content：</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ind w:left="0" w:right="0"/>
        <w:jc w:val="both"/>
        <w:rPr>
          <w:rFonts w:hint="default" w:ascii="Times New Roman" w:hAnsi="Times New Roman" w:eastAsia="宋体" w:cs="Times New Roman"/>
          <w:sz w:val="24"/>
          <w:szCs w:val="24"/>
        </w:rPr>
      </w:pPr>
      <w:r>
        <w:rPr>
          <w:rFonts w:hint="default" w:ascii="Times New Roman" w:hAnsi="Times New Roman" w:eastAsia="宋体" w:cs="Times New Roman"/>
          <w:i w:val="0"/>
          <w:caps w:val="0"/>
          <w:color w:val="333333"/>
          <w:spacing w:val="0"/>
          <w:sz w:val="24"/>
          <w:szCs w:val="24"/>
          <w:shd w:val="clear" w:fill="FFFFFF"/>
        </w:rPr>
        <w:t>Objective:To investigate the application value of methylene blue mixed medical adhesive injection marking for small pulmonary nodules puncture localization under CT guidance before thoracoscopy. Methods: a retrospective analysis was made of 35 cases (37 nodules) in our hospital from 2017 to 2019. All of them underwent thoracoscopic wedge-shaped thoracoscopic lobules resection after ct-guided positioning. The positioning method was 1 to 2 hours before the operation, and the 18G core needle puncture was used to inject local methylene blue and medical glue labeled small pulmonary nodules under CT's guidance. To observe the success rate of positioning surgery and thoracoscopic surgery and the incidence of complications. Results: The success rate of 37 small nodules was 100% under THE guidance of CT. The average long diameter of the lesions was 1.0cm (0.3-2.3cm), the short diameter was 0.8cm (0.3-1.2cm), and the average distance from the visceral pleura was 1.0cm (0~2.6cm). Complications occurred in puncture location in 2 cases, including a small amount of pneumothorax and a large amount of pneumothorax. After localization, the success rate of thoracoscopic resection of pulmonary nodules was 100%, and no thoracoscopic surgery was performed. Postoperative pathologic adenomatous hyperplasia (1 case), atypical epithelial hyperplasia (1 case), carcinoma in situ (2 cases), micro-invasive adenocarcinoma (5 cases), invasive adenocarcinoma (13 cases), inflammatory lesions (11 cases), metastasis (3 cases), and nodule (2 cases) were not found in pathological diagnosis. Conclusion: The use of methylene blue mixed medical glue injection under THE guidance of CT for the puncture and localization of pulmonary nodules can safely and rapidly locate small nodules, and has an essential role in the video-assisted resection of pulmonary nodules.x</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both"/>
        <w:rPr>
          <w:rFonts w:hint="default" w:ascii="Times New Roman" w:hAnsi="Times New Roman" w:eastAsia="宋体" w:cs="Times New Roman"/>
          <w:i w:val="0"/>
          <w:caps w:val="0"/>
          <w:color w:val="333333"/>
          <w:spacing w:val="0"/>
          <w:sz w:val="24"/>
          <w:szCs w:val="24"/>
        </w:rPr>
      </w:pPr>
      <w:r>
        <w:rPr>
          <w:rFonts w:hint="default" w:ascii="Times New Roman" w:hAnsi="Times New Roman" w:eastAsia="宋体" w:cs="Times New Roman"/>
          <w:i w:val="0"/>
          <w:caps w:val="0"/>
          <w:color w:val="060000"/>
          <w:spacing w:val="0"/>
          <w:sz w:val="24"/>
          <w:szCs w:val="24"/>
          <w:shd w:val="clear" w:fill="FFFFFF"/>
        </w:rPr>
        <w:t>Key words：</w:t>
      </w:r>
      <w:r>
        <w:rPr>
          <w:rFonts w:hint="default" w:ascii="Times New Roman" w:hAnsi="Times New Roman" w:eastAsia="宋体" w:cs="Times New Roman"/>
          <w:i w:val="0"/>
          <w:caps w:val="0"/>
          <w:color w:val="333333"/>
          <w:spacing w:val="0"/>
          <w:sz w:val="24"/>
          <w:szCs w:val="24"/>
          <w:shd w:val="clear" w:fill="FFFFFF"/>
        </w:rPr>
        <w:t>Pulmonary nodule, Medical glue; Methylene blue; CT guided puncture; Thoracoscopy</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jc w:val="center"/>
        <w:rPr>
          <w:rFonts w:hint="eastAsia" w:ascii="宋体" w:hAnsi="宋体" w:eastAsia="宋体" w:cs="宋体"/>
          <w:sz w:val="24"/>
          <w:szCs w:val="24"/>
        </w:rPr>
      </w:pPr>
      <w:r>
        <w:rPr>
          <w:rFonts w:hint="eastAsia" w:ascii="宋体" w:hAnsi="宋体" w:eastAsia="宋体" w:cs="宋体"/>
          <w:sz w:val="24"/>
          <w:szCs w:val="24"/>
        </w:rPr>
        <w:t>4D-CTA技术在320排CT肺动脉成像中的价值</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长江航运总医院 武汉脑科医院医学影像科</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李自凯，黎爽，胡庆华，杨威威，梁奕</w:t>
      </w:r>
    </w:p>
    <w:p>
      <w:pPr>
        <w:spacing w:line="360" w:lineRule="auto"/>
        <w:jc w:val="left"/>
        <w:rPr>
          <w:rFonts w:hint="eastAsia" w:ascii="宋体" w:hAnsi="宋体" w:eastAsia="宋体" w:cs="宋体"/>
          <w:sz w:val="24"/>
          <w:szCs w:val="24"/>
        </w:rPr>
      </w:pP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b/>
          <w:sz w:val="24"/>
          <w:szCs w:val="24"/>
        </w:rPr>
        <w:t>摘要</w:t>
      </w:r>
      <w:r>
        <w:rPr>
          <w:rFonts w:hint="eastAsia" w:ascii="宋体" w:hAnsi="宋体" w:eastAsia="宋体" w:cs="宋体"/>
          <w:sz w:val="24"/>
          <w:szCs w:val="24"/>
        </w:rPr>
        <w:t>】</w:t>
      </w:r>
      <w:r>
        <w:rPr>
          <w:rFonts w:hint="eastAsia" w:ascii="宋体" w:hAnsi="宋体" w:eastAsia="宋体" w:cs="宋体"/>
          <w:b/>
          <w:sz w:val="24"/>
          <w:szCs w:val="24"/>
        </w:rPr>
        <w:t>目的</w:t>
      </w:r>
      <w:r>
        <w:rPr>
          <w:rFonts w:hint="eastAsia" w:ascii="宋体" w:hAnsi="宋体" w:eastAsia="宋体" w:cs="宋体"/>
          <w:sz w:val="24"/>
          <w:szCs w:val="24"/>
        </w:rPr>
        <w:t>：探讨4D-CTA技术在320排CT肺动脉成像中的价值。</w:t>
      </w:r>
      <w:r>
        <w:rPr>
          <w:rFonts w:hint="eastAsia" w:ascii="宋体" w:hAnsi="宋体" w:eastAsia="宋体" w:cs="宋体"/>
          <w:b/>
          <w:sz w:val="24"/>
          <w:szCs w:val="24"/>
        </w:rPr>
        <w:t>方法：</w:t>
      </w:r>
      <w:r>
        <w:rPr>
          <w:rFonts w:hint="eastAsia" w:ascii="宋体" w:hAnsi="宋体" w:eastAsia="宋体" w:cs="宋体"/>
          <w:sz w:val="24"/>
          <w:szCs w:val="24"/>
        </w:rPr>
        <w:t>选择50例行320排CT肺动脉成像的患者，随机分为A、B两组，每组25人。A组应用Surestart团注追踪法，监测右肺动脉干水平，触发阈值为120HU，达到阈值后自动触发扫描。B组采用Volume轴扫法，以右肺动脉干层面为中心，上下覆盖16cm的肺部范围，应用4D-CTA技术动态采集肺动脉图像。比较两种扫描方法重组肺动脉的图像质量以及辐射剂量的差异。</w:t>
      </w:r>
      <w:r>
        <w:rPr>
          <w:rFonts w:hint="eastAsia" w:ascii="宋体" w:hAnsi="宋体" w:eastAsia="宋体" w:cs="宋体"/>
          <w:b/>
          <w:sz w:val="24"/>
          <w:szCs w:val="24"/>
        </w:rPr>
        <w:t>结果：</w:t>
      </w:r>
      <w:r>
        <w:rPr>
          <w:rFonts w:hint="eastAsia" w:ascii="宋体" w:hAnsi="宋体" w:eastAsia="宋体" w:cs="宋体"/>
          <w:sz w:val="24"/>
          <w:szCs w:val="24"/>
        </w:rPr>
        <w:t>A组中有3名患者因图像质量无法满足诊断要求而重新扫描，其余患者一次成功；B组所有患者在4D-CTA图像中均能找到合适的肺动脉期像，无重复检查。两组患者的肺动脉CTA重组图像质量的主观评价和客观评价均无统计学差异。A组扫描方案的辐射剂量DLP为（305.7±21.8）mGy·cm，B组扫描方案的辐射剂量DLP为（1294.6±178.8）mGy·cm，A组明显低于B组，且差异具有统计学意义（</w:t>
      </w:r>
      <w:r>
        <w:rPr>
          <w:rFonts w:hint="eastAsia" w:ascii="宋体" w:hAnsi="宋体" w:eastAsia="宋体" w:cs="宋体"/>
          <w:i/>
          <w:sz w:val="24"/>
          <w:szCs w:val="24"/>
        </w:rPr>
        <w:t>P</w:t>
      </w:r>
      <w:r>
        <w:rPr>
          <w:rFonts w:hint="eastAsia" w:ascii="宋体" w:hAnsi="宋体" w:eastAsia="宋体" w:cs="宋体"/>
          <w:sz w:val="24"/>
          <w:szCs w:val="24"/>
        </w:rPr>
        <w:t>＜0.01）。</w:t>
      </w:r>
      <w:r>
        <w:rPr>
          <w:rFonts w:hint="eastAsia" w:ascii="宋体" w:hAnsi="宋体" w:eastAsia="宋体" w:cs="宋体"/>
          <w:b/>
          <w:sz w:val="24"/>
          <w:szCs w:val="24"/>
        </w:rPr>
        <w:t>结论：</w:t>
      </w:r>
      <w:r>
        <w:rPr>
          <w:rFonts w:hint="eastAsia" w:ascii="宋体" w:hAnsi="宋体" w:eastAsia="宋体" w:cs="宋体"/>
          <w:sz w:val="24"/>
          <w:szCs w:val="24"/>
        </w:rPr>
        <w:t>应用4D-CTA技术在320排CT肺动脉成像中具有更高的检查成功率，尤其适用于屏气不能配合的患者，但辐射剂量较常规扫描方案高。</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b/>
          <w:sz w:val="24"/>
          <w:szCs w:val="24"/>
        </w:rPr>
        <w:t>关键词</w:t>
      </w:r>
      <w:r>
        <w:rPr>
          <w:rFonts w:hint="eastAsia" w:ascii="宋体" w:hAnsi="宋体" w:eastAsia="宋体" w:cs="宋体"/>
          <w:sz w:val="24"/>
          <w:szCs w:val="24"/>
        </w:rPr>
        <w:t>】肺动脉造影；4D-CT血管成像</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pStyle w:val="2"/>
        <w:jc w:val="center"/>
        <w:rPr>
          <w:rFonts w:hint="eastAsia" w:ascii="宋体" w:hAnsi="宋体" w:eastAsia="宋体" w:cs="宋体"/>
          <w:sz w:val="24"/>
          <w:szCs w:val="24"/>
        </w:rPr>
      </w:pPr>
      <w:r>
        <w:rPr>
          <w:rFonts w:hint="eastAsia" w:ascii="宋体" w:hAnsi="宋体" w:eastAsia="宋体" w:cs="宋体"/>
          <w:sz w:val="24"/>
          <w:szCs w:val="24"/>
        </w:rPr>
        <w:t>320排肺动脉CTA“三低”扫描技术的可行性研究</w:t>
      </w:r>
    </w:p>
    <w:p>
      <w:pPr>
        <w:jc w:val="center"/>
        <w:rPr>
          <w:rFonts w:hint="eastAsia" w:ascii="宋体" w:hAnsi="宋体" w:eastAsia="宋体" w:cs="宋体"/>
          <w:sz w:val="24"/>
          <w:szCs w:val="24"/>
        </w:rPr>
      </w:pPr>
      <w:r>
        <w:rPr>
          <w:rFonts w:hint="eastAsia" w:ascii="宋体" w:hAnsi="宋体" w:eastAsia="宋体" w:cs="宋体"/>
          <w:sz w:val="24"/>
          <w:szCs w:val="24"/>
        </w:rPr>
        <w:t>李自凯  范文辉  胡庆华  梁奕</w:t>
      </w:r>
    </w:p>
    <w:p>
      <w:pPr>
        <w:jc w:val="center"/>
        <w:rPr>
          <w:rFonts w:hint="eastAsia" w:ascii="宋体" w:hAnsi="宋体" w:eastAsia="宋体" w:cs="宋体"/>
          <w:sz w:val="24"/>
          <w:szCs w:val="24"/>
        </w:rPr>
      </w:pPr>
      <w:r>
        <w:rPr>
          <w:rFonts w:hint="eastAsia" w:ascii="宋体" w:hAnsi="宋体" w:eastAsia="宋体" w:cs="宋体"/>
          <w:sz w:val="24"/>
          <w:szCs w:val="24"/>
        </w:rPr>
        <w:t>长江航运总医院 武汉脑科医院医学影像科</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 xml:space="preserve">  【摘要】目的  探讨320排肺动脉CTA成像中应用“三低”（低管电压,等渗低浓度对比剂，低剂量）扫描的可行性。</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方法  连续纳入40例行320排肺动脉CTA的患者，随机分为试验组和对照组各20例。</w:t>
      </w:r>
    </w:p>
    <w:p>
      <w:pPr>
        <w:rPr>
          <w:rFonts w:hint="eastAsia" w:ascii="宋体" w:hAnsi="宋体" w:eastAsia="宋体" w:cs="宋体"/>
          <w:sz w:val="24"/>
          <w:szCs w:val="24"/>
        </w:rPr>
      </w:pPr>
      <w:r>
        <w:rPr>
          <w:rFonts w:hint="eastAsia" w:ascii="宋体" w:hAnsi="宋体" w:eastAsia="宋体" w:cs="宋体"/>
          <w:sz w:val="24"/>
          <w:szCs w:val="24"/>
        </w:rPr>
        <w:t>试验组扫描参数：100KV，自动mA,对比剂为碘克沙醇（270mgl/ml）20ml；对照组扫描参数：120KV,自动mA,对比剂为碘普罗胺（370mgl/ml）40ml。应用Toshiba Aquilion One 320排动态容积CT，图像重建采用自适应迭代剂量减低算法。测量每例患者肺动脉主干和分支的CT值，计算图像信噪比（SNR）和对比噪声比（CNR）。记录设备自动生成的剂量长度乘积（DLP）,计算有效剂量（ED），应用独立样本的t检验对上述数据进行统计学分析，应用检验比较2组间上腔静脉硬化伪影显示率的差异。</w:t>
      </w:r>
    </w:p>
    <w:p>
      <w:pPr>
        <w:ind w:firstLine="420"/>
        <w:rPr>
          <w:rFonts w:hint="eastAsia" w:ascii="宋体" w:hAnsi="宋体" w:eastAsia="宋体" w:cs="宋体"/>
          <w:sz w:val="24"/>
          <w:szCs w:val="24"/>
        </w:rPr>
      </w:pPr>
      <w:r>
        <w:rPr>
          <w:rFonts w:hint="eastAsia" w:ascii="宋体" w:hAnsi="宋体" w:eastAsia="宋体" w:cs="宋体"/>
          <w:sz w:val="24"/>
          <w:szCs w:val="24"/>
        </w:rPr>
        <w:t>结果   40例患者中，有3例因呼吸配合度欠佳图像质量无法满足诊断要求而被排除，</w:t>
      </w:r>
    </w:p>
    <w:p>
      <w:pPr>
        <w:ind w:firstLine="420"/>
        <w:rPr>
          <w:rFonts w:hint="eastAsia" w:ascii="宋体" w:hAnsi="宋体" w:eastAsia="宋体" w:cs="宋体"/>
          <w:sz w:val="24"/>
          <w:szCs w:val="24"/>
        </w:rPr>
      </w:pPr>
      <w:r>
        <w:rPr>
          <w:rFonts w:hint="eastAsia" w:ascii="宋体" w:hAnsi="宋体" w:eastAsia="宋体" w:cs="宋体"/>
          <w:sz w:val="24"/>
          <w:szCs w:val="24"/>
        </w:rPr>
        <w:t>37例入组患者中试验组18例，对照组19例，两组肺动脉各段CT值，SNR和CNR差异均无统计学意义（t=0.304，P&gt;0.05）,使用120kv组的DLP和ED高于100kv组，差异有统计学意义（t=-13.569，P&lt;0.05）,试验组出现上腔静脉硬化伪影的例数（10例）低于对照组（18例），差异有统计学意义（x²=11.421，P&lt;0.05）。</w:t>
      </w:r>
    </w:p>
    <w:p>
      <w:pPr>
        <w:ind w:firstLine="420"/>
        <w:rPr>
          <w:rFonts w:hint="eastAsia" w:ascii="宋体" w:hAnsi="宋体" w:eastAsia="宋体" w:cs="宋体"/>
          <w:sz w:val="24"/>
          <w:szCs w:val="24"/>
        </w:rPr>
      </w:pPr>
      <w:r>
        <w:rPr>
          <w:rFonts w:hint="eastAsia" w:ascii="宋体" w:hAnsi="宋体" w:eastAsia="宋体" w:cs="宋体"/>
          <w:sz w:val="24"/>
          <w:szCs w:val="24"/>
        </w:rPr>
        <w:t xml:space="preserve">  结论  应用320排肺动脉CTA“三低”扫描技术，图像质量能满足临床诊断要求，同时还可以减少对比剂用量和射线暴露的风险。</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jc w:val="center"/>
        <w:rPr>
          <w:rFonts w:hint="eastAsia" w:ascii="宋体" w:hAnsi="宋体" w:eastAsia="宋体" w:cs="宋体"/>
          <w:b/>
          <w:sz w:val="24"/>
          <w:szCs w:val="24"/>
        </w:rPr>
      </w:pPr>
      <w:r>
        <w:rPr>
          <w:rFonts w:hint="eastAsia" w:ascii="宋体" w:hAnsi="宋体" w:eastAsia="宋体" w:cs="宋体"/>
          <w:b/>
          <w:sz w:val="24"/>
          <w:szCs w:val="24"/>
        </w:rPr>
        <w:t>MRI动态增强联合扩散加权成像在子宫内膜癌术前分期中的价值</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 长江航运总医院  武汉脑科医院放射科</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 石敏，陶静雄，凡娜，李贞，梁奕，范文辉</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4"/>
        </w:rPr>
      </w:pPr>
      <w:r>
        <w:rPr>
          <w:rFonts w:hint="eastAsia" w:ascii="宋体" w:hAnsi="宋体" w:eastAsia="宋体" w:cs="宋体"/>
          <w:sz w:val="24"/>
          <w:szCs w:val="24"/>
        </w:rPr>
        <w:t>【</w:t>
      </w:r>
      <w:r>
        <w:rPr>
          <w:rFonts w:hint="eastAsia" w:ascii="宋体" w:hAnsi="宋体" w:eastAsia="宋体" w:cs="宋体"/>
          <w:b/>
          <w:sz w:val="24"/>
          <w:szCs w:val="24"/>
        </w:rPr>
        <w:t>摘要</w:t>
      </w:r>
      <w:r>
        <w:rPr>
          <w:rFonts w:hint="eastAsia" w:ascii="宋体" w:hAnsi="宋体" w:eastAsia="宋体" w:cs="宋体"/>
          <w:sz w:val="24"/>
          <w:szCs w:val="24"/>
        </w:rPr>
        <w:t xml:space="preserve">】 </w:t>
      </w:r>
      <w:r>
        <w:rPr>
          <w:rFonts w:hint="eastAsia" w:ascii="宋体" w:hAnsi="宋体" w:eastAsia="宋体" w:cs="宋体"/>
          <w:b/>
          <w:sz w:val="24"/>
          <w:szCs w:val="24"/>
        </w:rPr>
        <w:t xml:space="preserve">目的 </w:t>
      </w:r>
      <w:r>
        <w:rPr>
          <w:rFonts w:hint="eastAsia" w:ascii="宋体" w:hAnsi="宋体" w:eastAsia="宋体" w:cs="宋体"/>
          <w:sz w:val="24"/>
          <w:szCs w:val="24"/>
          <w:lang w:val="en-IN"/>
        </w:rPr>
        <w:t>探讨</w:t>
      </w:r>
      <w:r>
        <w:rPr>
          <w:rFonts w:hint="eastAsia" w:ascii="宋体" w:hAnsi="宋体" w:eastAsia="宋体" w:cs="宋体"/>
          <w:sz w:val="24"/>
          <w:szCs w:val="24"/>
        </w:rPr>
        <w:t>MRI动态增强联合扩散加权成像在子宫内膜癌术前分期中的价值。</w:t>
      </w:r>
      <w:r>
        <w:rPr>
          <w:rFonts w:hint="eastAsia" w:ascii="宋体" w:hAnsi="宋体" w:eastAsia="宋体" w:cs="宋体"/>
          <w:b/>
          <w:sz w:val="24"/>
          <w:szCs w:val="24"/>
        </w:rPr>
        <w:t xml:space="preserve">方法 </w:t>
      </w:r>
      <w:r>
        <w:rPr>
          <w:rFonts w:hint="eastAsia" w:ascii="宋体" w:hAnsi="宋体" w:eastAsia="宋体" w:cs="宋体"/>
          <w:sz w:val="24"/>
          <w:szCs w:val="24"/>
        </w:rPr>
        <w:t>回顾性分析本院2013年1月至2020年12月收治的202例子宫内膜癌患者，所有患者均行MRI动态增强及扩散加权成像检查，以术后病理为“金标准”，评价MRI对子宫内膜癌术前分期的诊断效能。</w:t>
      </w:r>
      <w:r>
        <w:rPr>
          <w:rFonts w:hint="eastAsia" w:ascii="宋体" w:hAnsi="宋体" w:eastAsia="宋体" w:cs="宋体"/>
          <w:b/>
          <w:sz w:val="24"/>
          <w:szCs w:val="24"/>
        </w:rPr>
        <w:t xml:space="preserve">结果 </w:t>
      </w:r>
      <w:r>
        <w:rPr>
          <w:rFonts w:hint="eastAsia" w:ascii="宋体" w:hAnsi="宋体" w:eastAsia="宋体" w:cs="宋体"/>
          <w:sz w:val="24"/>
          <w:szCs w:val="24"/>
        </w:rPr>
        <w:t>202例子宫内膜癌患者术后病理分期，IA期131例，IB期28例，II期15例，IIIA期3例，IIIB期16例，IIIC1期4例，IIIC2期1例，IVA期1例，IVB期3例，MRI术前分期误判16例，诊断符合率为92.1%（186/202）。MRI对IB期及以上分期的子宫内膜癌诊断特异性在98%以上，具有良好的诊断效能。</w:t>
      </w:r>
      <w:r>
        <w:rPr>
          <w:rFonts w:hint="eastAsia" w:ascii="宋体" w:hAnsi="宋体" w:eastAsia="宋体" w:cs="宋体"/>
          <w:b/>
          <w:sz w:val="24"/>
          <w:szCs w:val="24"/>
        </w:rPr>
        <w:t xml:space="preserve">结论 </w:t>
      </w:r>
      <w:r>
        <w:rPr>
          <w:rFonts w:hint="eastAsia" w:ascii="宋体" w:hAnsi="宋体" w:eastAsia="宋体" w:cs="宋体"/>
          <w:sz w:val="24"/>
          <w:szCs w:val="24"/>
        </w:rPr>
        <w:t>MRI动态增强联合扩散加权成像可作为子宫内膜癌患者的术前常规检查，为临床决策提供客观依据。</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bCs/>
          <w:i w:val="0"/>
          <w:color w:val="000000"/>
          <w:sz w:val="24"/>
          <w:szCs w:val="24"/>
          <w:u w:val="none"/>
          <w:lang w:val="en-US" w:eastAsia="zh-CN"/>
        </w:rPr>
      </w:pPr>
      <w:r>
        <w:rPr>
          <w:rFonts w:hint="eastAsia" w:ascii="宋体" w:hAnsi="宋体" w:eastAsia="宋体" w:cs="宋体"/>
          <w:sz w:val="24"/>
          <w:szCs w:val="24"/>
        </w:rPr>
        <w:t>【</w:t>
      </w:r>
      <w:r>
        <w:rPr>
          <w:rFonts w:hint="eastAsia" w:ascii="宋体" w:hAnsi="宋体" w:eastAsia="宋体" w:cs="宋体"/>
          <w:b/>
          <w:sz w:val="24"/>
          <w:szCs w:val="24"/>
        </w:rPr>
        <w:t>关键词</w:t>
      </w:r>
      <w:r>
        <w:rPr>
          <w:rFonts w:hint="eastAsia" w:ascii="宋体" w:hAnsi="宋体" w:eastAsia="宋体" w:cs="宋体"/>
          <w:sz w:val="24"/>
          <w:szCs w:val="24"/>
        </w:rPr>
        <w:t>】磁共振成像；动态增强；扩散加权成像；子宫内膜癌；术前分期</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jc w:val="center"/>
        <w:rPr>
          <w:rFonts w:hint="eastAsia" w:ascii="宋体" w:hAnsi="宋体" w:eastAsia="宋体" w:cs="宋体"/>
          <w:sz w:val="24"/>
          <w:szCs w:val="24"/>
        </w:rPr>
      </w:pPr>
      <w:r>
        <w:rPr>
          <w:rFonts w:hint="eastAsia" w:ascii="宋体" w:hAnsi="宋体" w:eastAsia="宋体" w:cs="宋体"/>
          <w:b/>
          <w:sz w:val="24"/>
          <w:szCs w:val="24"/>
        </w:rPr>
        <w:t>T2 FLAIR联合SWI序列评估急性脑梗死侧支循环和预后的价值</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长江航运总医院 武汉脑科医院放射科</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石敏，朱正红，李贞，梁奕，范文辉</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lang w:eastAsia="zh-TW"/>
        </w:rPr>
        <w:t>【</w:t>
      </w:r>
      <w:r>
        <w:rPr>
          <w:rFonts w:hint="eastAsia" w:ascii="宋体" w:hAnsi="宋体" w:eastAsia="宋体" w:cs="宋体"/>
          <w:b/>
          <w:sz w:val="24"/>
          <w:szCs w:val="24"/>
          <w:lang w:eastAsia="zh-TW"/>
        </w:rPr>
        <w:t>摘要</w:t>
      </w:r>
      <w:r>
        <w:rPr>
          <w:rFonts w:hint="eastAsia" w:ascii="宋体" w:hAnsi="宋体" w:eastAsia="宋体" w:cs="宋体"/>
          <w:sz w:val="24"/>
          <w:szCs w:val="24"/>
          <w:lang w:eastAsia="zh-TW"/>
        </w:rPr>
        <w:t xml:space="preserve">】 </w:t>
      </w:r>
      <w:r>
        <w:rPr>
          <w:rFonts w:hint="eastAsia" w:ascii="宋体" w:hAnsi="宋体" w:eastAsia="宋体" w:cs="宋体"/>
          <w:b/>
          <w:sz w:val="24"/>
          <w:szCs w:val="24"/>
          <w:lang w:eastAsia="zh-TW"/>
        </w:rPr>
        <w:t>目的</w:t>
      </w:r>
      <w:r>
        <w:rPr>
          <w:rFonts w:hint="eastAsia" w:ascii="宋体" w:hAnsi="宋体" w:eastAsia="宋体" w:cs="宋体"/>
          <w:sz w:val="24"/>
          <w:szCs w:val="24"/>
          <w:lang w:eastAsia="zh-TW"/>
        </w:rPr>
        <w:t xml:space="preserve"> 探讨T2 FLAIR联合SWI序列在评估急性脑梗死侧支循环和预后中的价值。</w:t>
      </w:r>
      <w:r>
        <w:rPr>
          <w:rFonts w:hint="eastAsia" w:ascii="宋体" w:hAnsi="宋体" w:eastAsia="宋体" w:cs="宋体"/>
          <w:b/>
          <w:sz w:val="24"/>
          <w:szCs w:val="24"/>
          <w:lang w:eastAsia="zh-TW"/>
        </w:rPr>
        <w:t xml:space="preserve">方法 </w:t>
      </w:r>
      <w:r>
        <w:rPr>
          <w:rFonts w:hint="eastAsia" w:ascii="宋体" w:hAnsi="宋体" w:eastAsia="宋体" w:cs="宋体"/>
          <w:sz w:val="24"/>
          <w:szCs w:val="24"/>
          <w:lang w:eastAsia="zh-TW"/>
        </w:rPr>
        <w:t>采用3.0T磁共振对56例单侧大脑中动脉闭塞或重度狭窄的急性脑梗死患者行轴位T</w:t>
      </w:r>
      <w:r>
        <w:rPr>
          <w:rFonts w:hint="eastAsia" w:ascii="宋体" w:hAnsi="宋体" w:eastAsia="宋体" w:cs="宋体"/>
          <w:sz w:val="24"/>
          <w:szCs w:val="24"/>
          <w:vertAlign w:val="subscript"/>
          <w:lang w:eastAsia="zh-TW"/>
        </w:rPr>
        <w:t xml:space="preserve">2 </w:t>
      </w:r>
      <w:r>
        <w:rPr>
          <w:rFonts w:hint="eastAsia" w:ascii="宋体" w:hAnsi="宋体" w:eastAsia="宋体" w:cs="宋体"/>
          <w:sz w:val="24"/>
          <w:szCs w:val="24"/>
          <w:lang w:eastAsia="zh-TW"/>
        </w:rPr>
        <w:t>FLAIR、DWI、MRA及SWI扫描，T2 FLAIR序列观察有无血管高信号征（FLAIR vessel hyperintense，FVH），SWI序列观察有无梗死灶周围的引流静脉扩张，通过</w:t>
      </w:r>
      <w:r>
        <w:rPr>
          <w:rFonts w:hint="eastAsia" w:ascii="宋体" w:hAnsi="宋体" w:eastAsia="宋体" w:cs="宋体"/>
          <w:sz w:val="24"/>
          <w:szCs w:val="24"/>
        </w:rPr>
        <w:t>判读有无FVH和引流静脉扩张的征象来评估侧枝循环情况以及预后的关系。</w:t>
      </w:r>
      <w:r>
        <w:rPr>
          <w:rFonts w:hint="eastAsia" w:ascii="宋体" w:hAnsi="宋体" w:eastAsia="宋体" w:cs="宋体"/>
          <w:b/>
          <w:sz w:val="24"/>
          <w:szCs w:val="24"/>
        </w:rPr>
        <w:t xml:space="preserve">结果 </w:t>
      </w:r>
      <w:r>
        <w:rPr>
          <w:rFonts w:hint="eastAsia" w:ascii="宋体" w:hAnsi="宋体" w:eastAsia="宋体" w:cs="宋体"/>
          <w:sz w:val="24"/>
          <w:szCs w:val="24"/>
        </w:rPr>
        <w:t>56例</w:t>
      </w:r>
      <w:r>
        <w:rPr>
          <w:rFonts w:hint="eastAsia" w:ascii="宋体" w:hAnsi="宋体" w:eastAsia="宋体" w:cs="宋体"/>
          <w:sz w:val="24"/>
          <w:szCs w:val="24"/>
          <w:lang w:eastAsia="zh-TW"/>
        </w:rPr>
        <w:t>急性脑梗死</w:t>
      </w:r>
      <w:r>
        <w:rPr>
          <w:rFonts w:hint="eastAsia" w:ascii="宋体" w:hAnsi="宋体" w:eastAsia="宋体" w:cs="宋体"/>
          <w:sz w:val="24"/>
          <w:szCs w:val="24"/>
        </w:rPr>
        <w:t>患者中，FVH阳性和引流静脉扩张有16例，FVH阴性和无引流静脉扩张有33例。FVH阳性和引流静脉扩张患者中有15例</w:t>
      </w:r>
      <w:r>
        <w:rPr>
          <w:rFonts w:hint="eastAsia" w:ascii="宋体" w:hAnsi="宋体" w:eastAsia="宋体" w:cs="宋体"/>
          <w:sz w:val="24"/>
          <w:szCs w:val="24"/>
          <w:lang w:val="zh-TW"/>
        </w:rPr>
        <w:t>90天mRS评分≤2分，</w:t>
      </w:r>
      <w:r>
        <w:rPr>
          <w:rFonts w:hint="eastAsia" w:ascii="宋体" w:hAnsi="宋体" w:eastAsia="宋体" w:cs="宋体"/>
          <w:sz w:val="24"/>
          <w:szCs w:val="24"/>
        </w:rPr>
        <w:t>FVH阴性和无引流静脉扩张患者中有27例</w:t>
      </w:r>
      <w:r>
        <w:rPr>
          <w:rFonts w:hint="eastAsia" w:ascii="宋体" w:hAnsi="宋体" w:eastAsia="宋体" w:cs="宋体"/>
          <w:sz w:val="24"/>
          <w:szCs w:val="24"/>
          <w:lang w:val="zh-TW"/>
        </w:rPr>
        <w:t>90天mRS评分＞2分，</w:t>
      </w:r>
      <w:r>
        <w:rPr>
          <w:rFonts w:hint="eastAsia" w:ascii="宋体" w:hAnsi="宋体" w:eastAsia="宋体" w:cs="宋体"/>
          <w:sz w:val="24"/>
          <w:szCs w:val="24"/>
        </w:rPr>
        <w:t>FVH阳性和引流静脉扩张患者</w:t>
      </w:r>
      <w:r>
        <w:rPr>
          <w:rFonts w:hint="eastAsia" w:ascii="宋体" w:hAnsi="宋体" w:eastAsia="宋体" w:cs="宋体"/>
          <w:sz w:val="24"/>
          <w:szCs w:val="24"/>
          <w:lang w:val="zh-TW"/>
        </w:rPr>
        <w:t>mRS评分低于</w:t>
      </w:r>
      <w:r>
        <w:rPr>
          <w:rFonts w:hint="eastAsia" w:ascii="宋体" w:hAnsi="宋体" w:eastAsia="宋体" w:cs="宋体"/>
          <w:sz w:val="24"/>
          <w:szCs w:val="24"/>
        </w:rPr>
        <w:t>FVH阴性和无引流静脉扩张，差异有统计学意义（</w:t>
      </w:r>
      <w:r>
        <w:rPr>
          <w:rFonts w:hint="eastAsia" w:ascii="宋体" w:hAnsi="宋体" w:eastAsia="宋体" w:cs="宋体"/>
          <w:i/>
          <w:sz w:val="24"/>
          <w:szCs w:val="24"/>
        </w:rPr>
        <w:t>P</w:t>
      </w:r>
      <w:r>
        <w:rPr>
          <w:rFonts w:hint="eastAsia" w:ascii="宋体" w:hAnsi="宋体" w:eastAsia="宋体" w:cs="宋体"/>
          <w:sz w:val="24"/>
          <w:szCs w:val="24"/>
        </w:rPr>
        <w:t>＜0.05）。</w:t>
      </w:r>
      <w:r>
        <w:rPr>
          <w:rFonts w:hint="eastAsia" w:ascii="宋体" w:hAnsi="宋体" w:eastAsia="宋体" w:cs="宋体"/>
          <w:b/>
          <w:sz w:val="24"/>
          <w:szCs w:val="24"/>
        </w:rPr>
        <w:t xml:space="preserve">结论 </w:t>
      </w:r>
      <w:r>
        <w:rPr>
          <w:rFonts w:hint="eastAsia" w:ascii="宋体" w:hAnsi="宋体" w:eastAsia="宋体" w:cs="宋体"/>
          <w:sz w:val="24"/>
          <w:szCs w:val="24"/>
          <w:lang w:eastAsia="zh-TW"/>
        </w:rPr>
        <w:t>单侧大脑中动脉闭塞或重度狭窄</w:t>
      </w:r>
      <w:r>
        <w:rPr>
          <w:rFonts w:hint="eastAsia" w:ascii="宋体" w:hAnsi="宋体" w:eastAsia="宋体" w:cs="宋体"/>
          <w:sz w:val="24"/>
          <w:szCs w:val="24"/>
        </w:rPr>
        <w:t>所致的</w:t>
      </w:r>
      <w:r>
        <w:rPr>
          <w:rFonts w:hint="eastAsia" w:ascii="宋体" w:hAnsi="宋体" w:eastAsia="宋体" w:cs="宋体"/>
          <w:sz w:val="24"/>
          <w:szCs w:val="24"/>
          <w:lang w:eastAsia="zh-TW"/>
        </w:rPr>
        <w:t>急性脑梗死</w:t>
      </w:r>
      <w:r>
        <w:rPr>
          <w:rFonts w:hint="eastAsia" w:ascii="宋体" w:hAnsi="宋体" w:eastAsia="宋体" w:cs="宋体"/>
          <w:sz w:val="24"/>
          <w:szCs w:val="24"/>
        </w:rPr>
        <w:t>，</w:t>
      </w:r>
      <w:r>
        <w:rPr>
          <w:rFonts w:hint="eastAsia" w:ascii="宋体" w:hAnsi="宋体" w:eastAsia="宋体" w:cs="宋体"/>
          <w:sz w:val="24"/>
          <w:szCs w:val="24"/>
          <w:lang w:eastAsia="zh-TW"/>
        </w:rPr>
        <w:t>T2 FLAIR</w:t>
      </w:r>
      <w:r>
        <w:rPr>
          <w:rFonts w:hint="eastAsia" w:ascii="宋体" w:hAnsi="宋体" w:eastAsia="宋体" w:cs="宋体"/>
          <w:sz w:val="24"/>
          <w:szCs w:val="24"/>
        </w:rPr>
        <w:t>发现FVH阳性以及SWI显示</w:t>
      </w:r>
      <w:r>
        <w:rPr>
          <w:rFonts w:hint="eastAsia" w:ascii="宋体" w:hAnsi="宋体" w:eastAsia="宋体" w:cs="宋体"/>
          <w:sz w:val="24"/>
          <w:szCs w:val="24"/>
          <w:lang w:eastAsia="zh-TW"/>
        </w:rPr>
        <w:t>梗死灶周围的引流静脉扩张</w:t>
      </w:r>
      <w:r>
        <w:rPr>
          <w:rFonts w:hint="eastAsia" w:ascii="宋体" w:hAnsi="宋体" w:eastAsia="宋体" w:cs="宋体"/>
          <w:sz w:val="24"/>
          <w:szCs w:val="24"/>
        </w:rPr>
        <w:t>提示侧枝循环建立及时，患者预后良好。</w:t>
      </w:r>
    </w:p>
    <w:p>
      <w:pPr>
        <w:spacing w:line="360" w:lineRule="auto"/>
        <w:rPr>
          <w:rFonts w:hint="eastAsia" w:ascii="宋体" w:hAnsi="宋体" w:eastAsia="宋体" w:cs="宋体"/>
          <w:b/>
          <w:bCs/>
          <w:i w:val="0"/>
          <w:color w:val="000000"/>
          <w:sz w:val="24"/>
          <w:szCs w:val="24"/>
          <w:u w:val="none"/>
          <w:lang w:val="en-US" w:eastAsia="zh-CN"/>
        </w:rPr>
      </w:pPr>
      <w:r>
        <w:rPr>
          <w:rFonts w:hint="eastAsia" w:ascii="宋体" w:hAnsi="宋体" w:eastAsia="宋体" w:cs="宋体"/>
          <w:sz w:val="24"/>
          <w:szCs w:val="24"/>
          <w:lang w:eastAsia="zh-TW"/>
        </w:rPr>
        <w:t>【</w:t>
      </w:r>
      <w:r>
        <w:rPr>
          <w:rFonts w:hint="eastAsia" w:ascii="宋体" w:hAnsi="宋体" w:eastAsia="宋体" w:cs="宋体"/>
          <w:b/>
          <w:sz w:val="24"/>
          <w:szCs w:val="24"/>
        </w:rPr>
        <w:t>关键词</w:t>
      </w:r>
      <w:r>
        <w:rPr>
          <w:rFonts w:hint="eastAsia" w:ascii="宋体" w:hAnsi="宋体" w:eastAsia="宋体" w:cs="宋体"/>
          <w:sz w:val="24"/>
          <w:szCs w:val="24"/>
          <w:lang w:eastAsia="zh-TW"/>
        </w:rPr>
        <w:t>】</w:t>
      </w:r>
      <w:r>
        <w:rPr>
          <w:rFonts w:hint="eastAsia" w:ascii="宋体" w:hAnsi="宋体" w:eastAsia="宋体" w:cs="宋体"/>
          <w:sz w:val="24"/>
          <w:szCs w:val="24"/>
        </w:rPr>
        <w:t>急性脑梗死；</w:t>
      </w:r>
      <w:r>
        <w:rPr>
          <w:rFonts w:hint="eastAsia" w:ascii="宋体" w:hAnsi="宋体" w:eastAsia="宋体" w:cs="宋体"/>
          <w:sz w:val="24"/>
          <w:szCs w:val="24"/>
          <w:lang w:eastAsia="zh-TW"/>
        </w:rPr>
        <w:t>液体衰减反转恢复血管高信号征</w:t>
      </w:r>
      <w:r>
        <w:rPr>
          <w:rFonts w:hint="eastAsia" w:ascii="宋体" w:hAnsi="宋体" w:eastAsia="宋体" w:cs="宋体"/>
          <w:sz w:val="24"/>
          <w:szCs w:val="24"/>
        </w:rPr>
        <w:t>；磁敏感成像；</w:t>
      </w:r>
      <w:r>
        <w:rPr>
          <w:rFonts w:hint="eastAsia" w:ascii="宋体" w:hAnsi="宋体" w:eastAsia="宋体" w:cs="宋体"/>
          <w:sz w:val="24"/>
          <w:szCs w:val="24"/>
          <w:lang w:eastAsia="zh-TW"/>
        </w:rPr>
        <w:t>侧支循环</w:t>
      </w:r>
    </w:p>
    <w:p>
      <w:pPr>
        <w:spacing w:beforeLines="0" w:afterLines="0"/>
        <w:jc w:val="left"/>
        <w:rPr>
          <w:rFonts w:hint="eastAsia" w:ascii="宋体" w:hAnsi="宋体" w:eastAsia="宋体" w:cs="宋体"/>
          <w:b/>
          <w:bCs/>
          <w:i w:val="0"/>
          <w:color w:val="000000"/>
          <w:sz w:val="24"/>
          <w:szCs w:val="24"/>
          <w:u w:val="none"/>
          <w:lang w:val="en-US" w:eastAsia="zh-CN"/>
        </w:rPr>
      </w:pPr>
    </w:p>
    <w:p>
      <w:pPr>
        <w:jc w:val="center"/>
        <w:rPr>
          <w:rFonts w:hint="eastAsia" w:ascii="宋体" w:hAnsi="宋体" w:eastAsia="宋体" w:cs="宋体"/>
          <w:b/>
          <w:sz w:val="24"/>
          <w:szCs w:val="24"/>
        </w:rPr>
      </w:pPr>
      <w:r>
        <w:rPr>
          <w:rFonts w:hint="eastAsia" w:ascii="宋体" w:hAnsi="宋体" w:eastAsia="宋体" w:cs="宋体"/>
          <w:b/>
          <w:sz w:val="24"/>
          <w:szCs w:val="24"/>
        </w:rPr>
        <w:t>人工智能在头颈部CTA中的应用价值</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 李贞，梁奕，柳柏玉，杨威威，范文辉</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长江航运总医院 武汉脑科医院放射科 </w:t>
      </w:r>
    </w:p>
    <w:p>
      <w:pPr>
        <w:spacing w:line="360" w:lineRule="auto"/>
        <w:jc w:val="center"/>
        <w:rPr>
          <w:rFonts w:hint="eastAsia" w:ascii="宋体" w:hAnsi="宋体" w:eastAsia="宋体" w:cs="宋体"/>
          <w:sz w:val="24"/>
          <w:szCs w:val="24"/>
          <w:vertAlign w:val="superscript"/>
        </w:rPr>
      </w:pP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b/>
          <w:sz w:val="24"/>
          <w:szCs w:val="24"/>
        </w:rPr>
        <w:t>摘要</w:t>
      </w:r>
      <w:r>
        <w:rPr>
          <w:rFonts w:hint="eastAsia" w:ascii="宋体" w:hAnsi="宋体" w:eastAsia="宋体" w:cs="宋体"/>
          <w:sz w:val="24"/>
          <w:szCs w:val="24"/>
        </w:rPr>
        <w:t>】</w:t>
      </w:r>
      <w:r>
        <w:rPr>
          <w:rFonts w:hint="eastAsia" w:ascii="宋体" w:hAnsi="宋体" w:eastAsia="宋体" w:cs="宋体"/>
          <w:b/>
          <w:sz w:val="24"/>
          <w:szCs w:val="24"/>
        </w:rPr>
        <w:t xml:space="preserve">目的 </w:t>
      </w:r>
      <w:r>
        <w:rPr>
          <w:rFonts w:hint="eastAsia" w:ascii="宋体" w:hAnsi="宋体" w:eastAsia="宋体" w:cs="宋体"/>
          <w:sz w:val="24"/>
          <w:szCs w:val="24"/>
        </w:rPr>
        <w:t>探讨人工智能在头颈部CTA中的应用价值。</w:t>
      </w:r>
      <w:r>
        <w:rPr>
          <w:rFonts w:hint="eastAsia" w:ascii="宋体" w:hAnsi="宋体" w:eastAsia="宋体" w:cs="宋体"/>
          <w:b/>
          <w:sz w:val="24"/>
          <w:szCs w:val="24"/>
        </w:rPr>
        <w:t xml:space="preserve">方法 </w:t>
      </w:r>
      <w:r>
        <w:rPr>
          <w:rFonts w:hint="eastAsia" w:ascii="宋体" w:hAnsi="宋体" w:eastAsia="宋体" w:cs="宋体"/>
          <w:sz w:val="24"/>
          <w:szCs w:val="24"/>
        </w:rPr>
        <w:t>回顾性分析65例行头颈部CTA检查患者的影像学资料，分别采用手工和人工智能软件重建头颈部血管，比较两者间所需时间、射线剂量以及图像质量的差异。</w:t>
      </w:r>
      <w:r>
        <w:rPr>
          <w:rFonts w:hint="eastAsia" w:ascii="宋体" w:hAnsi="宋体" w:eastAsia="宋体" w:cs="宋体"/>
          <w:b/>
          <w:sz w:val="24"/>
          <w:szCs w:val="24"/>
        </w:rPr>
        <w:t xml:space="preserve">结果 </w:t>
      </w:r>
      <w:r>
        <w:rPr>
          <w:rFonts w:hint="eastAsia" w:ascii="宋体" w:hAnsi="宋体" w:eastAsia="宋体" w:cs="宋体"/>
          <w:sz w:val="24"/>
          <w:szCs w:val="24"/>
        </w:rPr>
        <w:t>使用人工智能重建头颈部血管所需的时间和射线剂量均明显低于手工重建，差异有统计学意义（</w:t>
      </w:r>
      <w:r>
        <w:rPr>
          <w:rFonts w:hint="eastAsia" w:ascii="宋体" w:hAnsi="宋体" w:eastAsia="宋体" w:cs="宋体"/>
          <w:i/>
          <w:sz w:val="24"/>
          <w:szCs w:val="24"/>
        </w:rPr>
        <w:t>P</w:t>
      </w:r>
      <w:r>
        <w:rPr>
          <w:rFonts w:hint="eastAsia" w:ascii="宋体" w:hAnsi="宋体" w:eastAsia="宋体" w:cs="宋体"/>
          <w:sz w:val="24"/>
          <w:szCs w:val="24"/>
        </w:rPr>
        <w:t>＜0.01）；两种方法重建头颈部血管的图像质量无显著性差异。</w:t>
      </w:r>
      <w:r>
        <w:rPr>
          <w:rFonts w:hint="eastAsia" w:ascii="宋体" w:hAnsi="宋体" w:eastAsia="宋体" w:cs="宋体"/>
          <w:b/>
          <w:sz w:val="24"/>
          <w:szCs w:val="24"/>
        </w:rPr>
        <w:t xml:space="preserve">结论 </w:t>
      </w:r>
      <w:r>
        <w:rPr>
          <w:rFonts w:hint="eastAsia" w:ascii="宋体" w:hAnsi="宋体" w:eastAsia="宋体" w:cs="宋体"/>
          <w:sz w:val="24"/>
          <w:szCs w:val="24"/>
        </w:rPr>
        <w:t>应用人工智能进行头颈部CTA后处理，图像满足诊断要求，不仅显著提升了重建速度，减轻医生的负担，还能有效减少患者辐射剂量。</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b/>
          <w:sz w:val="24"/>
          <w:szCs w:val="24"/>
        </w:rPr>
        <w:t>关键词</w:t>
      </w:r>
      <w:r>
        <w:rPr>
          <w:rFonts w:hint="eastAsia" w:ascii="宋体" w:hAnsi="宋体" w:eastAsia="宋体" w:cs="宋体"/>
          <w:sz w:val="24"/>
          <w:szCs w:val="24"/>
        </w:rPr>
        <w:t>】人工智能；体层摄影术，X线计算机；血管造影术</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pStyle w:val="8"/>
        <w:spacing w:line="276" w:lineRule="auto"/>
        <w:rPr>
          <w:rFonts w:hint="eastAsia" w:ascii="宋体" w:hAnsi="宋体" w:eastAsia="宋体" w:cs="宋体"/>
          <w:sz w:val="24"/>
          <w:szCs w:val="24"/>
        </w:rPr>
      </w:pPr>
      <w:r>
        <w:rPr>
          <w:rFonts w:hint="eastAsia" w:ascii="宋体" w:hAnsi="宋体" w:eastAsia="宋体" w:cs="宋体"/>
          <w:sz w:val="24"/>
          <w:szCs w:val="24"/>
        </w:rPr>
        <w:t>椎动脉起源变异的CTA表现及临床意义</w:t>
      </w:r>
    </w:p>
    <w:p>
      <w:pPr>
        <w:spacing w:line="360" w:lineRule="auto"/>
        <w:jc w:val="center"/>
        <w:rPr>
          <w:rFonts w:hint="eastAsia" w:ascii="宋体" w:hAnsi="宋体" w:eastAsia="宋体" w:cs="宋体"/>
          <w:sz w:val="24"/>
          <w:szCs w:val="24"/>
          <w:vertAlign w:val="superscript"/>
        </w:rPr>
      </w:pPr>
      <w:r>
        <w:rPr>
          <w:rFonts w:hint="eastAsia" w:ascii="宋体" w:hAnsi="宋体" w:eastAsia="宋体" w:cs="宋体"/>
          <w:sz w:val="24"/>
          <w:szCs w:val="24"/>
          <w:lang w:val="zh-TW"/>
        </w:rPr>
        <w:t>李贞，杨威威</w:t>
      </w:r>
      <w:r>
        <w:rPr>
          <w:rFonts w:hint="eastAsia" w:ascii="宋体" w:hAnsi="宋体" w:eastAsia="宋体" w:cs="宋体"/>
          <w:sz w:val="24"/>
          <w:szCs w:val="24"/>
          <w:lang w:val="zh-TW" w:eastAsia="zh-TW"/>
        </w:rPr>
        <w:t>，梁奕</w:t>
      </w:r>
    </w:p>
    <w:p>
      <w:pPr>
        <w:spacing w:line="360" w:lineRule="auto"/>
        <w:jc w:val="center"/>
        <w:rPr>
          <w:rFonts w:hint="eastAsia" w:ascii="宋体" w:hAnsi="宋体" w:eastAsia="宋体" w:cs="宋体"/>
          <w:sz w:val="24"/>
          <w:szCs w:val="24"/>
          <w:lang w:val="zh-TW"/>
        </w:rPr>
      </w:pPr>
      <w:r>
        <w:rPr>
          <w:rFonts w:hint="eastAsia" w:ascii="宋体" w:hAnsi="宋体" w:eastAsia="宋体" w:cs="宋体"/>
          <w:sz w:val="24"/>
          <w:szCs w:val="24"/>
          <w:lang w:val="zh-TW"/>
        </w:rPr>
        <w:t>长江航运总医院 武汉脑科医院放射科</w:t>
      </w:r>
    </w:p>
    <w:p>
      <w:pPr>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b/>
          <w:sz w:val="24"/>
          <w:szCs w:val="24"/>
        </w:rPr>
        <w:t xml:space="preserve">【摘要】 目的 </w:t>
      </w:r>
      <w:r>
        <w:rPr>
          <w:rFonts w:hint="eastAsia" w:ascii="宋体" w:hAnsi="宋体" w:eastAsia="宋体" w:cs="宋体"/>
          <w:sz w:val="24"/>
          <w:szCs w:val="24"/>
        </w:rPr>
        <w:t>探讨椎动脉起源变异的CTA表现及临床意义。</w:t>
      </w:r>
      <w:r>
        <w:rPr>
          <w:rFonts w:hint="eastAsia" w:ascii="宋体" w:hAnsi="宋体" w:eastAsia="宋体" w:cs="宋体"/>
          <w:b/>
          <w:sz w:val="24"/>
          <w:szCs w:val="24"/>
        </w:rPr>
        <w:t xml:space="preserve">方法 </w:t>
      </w:r>
      <w:r>
        <w:rPr>
          <w:rFonts w:hint="eastAsia" w:ascii="宋体" w:hAnsi="宋体" w:eastAsia="宋体" w:cs="宋体"/>
          <w:sz w:val="24"/>
          <w:szCs w:val="24"/>
        </w:rPr>
        <w:t>回顾性分析42例椎动脉起源变异的CTA表现，应用VR、CPR、MIP图像后处理技术观察变异椎动脉的起始血管及部位，是否合并其他血管病变。</w:t>
      </w:r>
      <w:r>
        <w:rPr>
          <w:rFonts w:hint="eastAsia" w:ascii="宋体" w:hAnsi="宋体" w:eastAsia="宋体" w:cs="宋体"/>
          <w:b/>
          <w:sz w:val="24"/>
          <w:szCs w:val="24"/>
        </w:rPr>
        <w:t xml:space="preserve">结果 </w:t>
      </w:r>
      <w:r>
        <w:rPr>
          <w:rFonts w:hint="eastAsia" w:ascii="宋体" w:hAnsi="宋体" w:eastAsia="宋体" w:cs="宋体"/>
          <w:sz w:val="24"/>
          <w:szCs w:val="24"/>
        </w:rPr>
        <w:t>左侧椎动脉起源变异有37例，32例起始于主动脉弓，3例起始于左侧锁骨下动脉根部，1例起始于左侧颈总动脉近端，1例双支起源。右侧椎动脉起源变异有5例，2例起始于右侧颈内动脉近端，1例起始于主动脉弓，1例起始于右侧颈总动脉近端， 1例起始于右侧颈外动脉近端。18例伴有椎动脉发育不良，8例合并椎动脉起始部狭窄，1例合并大脑中动脉瘤，1例合并烟雾病。</w:t>
      </w:r>
      <w:r>
        <w:rPr>
          <w:rFonts w:hint="eastAsia" w:ascii="宋体" w:hAnsi="宋体" w:eastAsia="宋体" w:cs="宋体"/>
          <w:b/>
          <w:sz w:val="24"/>
          <w:szCs w:val="24"/>
        </w:rPr>
        <w:t xml:space="preserve">结论 </w:t>
      </w:r>
      <w:r>
        <w:rPr>
          <w:rFonts w:hint="eastAsia" w:ascii="宋体" w:hAnsi="宋体" w:eastAsia="宋体" w:cs="宋体"/>
          <w:sz w:val="24"/>
          <w:szCs w:val="24"/>
        </w:rPr>
        <w:t>CTA能清楚显示椎动脉起源变异，对指导血管介入和手术有重要的临床意义。</w:t>
      </w:r>
    </w:p>
    <w:p>
      <w:pPr>
        <w:spacing w:line="360" w:lineRule="auto"/>
        <w:rPr>
          <w:rFonts w:hint="eastAsia" w:ascii="宋体" w:hAnsi="宋体" w:eastAsia="宋体" w:cs="宋体"/>
          <w:sz w:val="24"/>
          <w:szCs w:val="24"/>
        </w:rPr>
      </w:pPr>
      <w:r>
        <w:rPr>
          <w:rFonts w:hint="eastAsia" w:ascii="宋体" w:hAnsi="宋体" w:eastAsia="宋体" w:cs="宋体"/>
          <w:b/>
          <w:sz w:val="24"/>
          <w:szCs w:val="24"/>
        </w:rPr>
        <w:t xml:space="preserve">【关键词】 </w:t>
      </w:r>
      <w:r>
        <w:rPr>
          <w:rFonts w:hint="eastAsia" w:ascii="宋体" w:hAnsi="宋体" w:eastAsia="宋体" w:cs="宋体"/>
          <w:sz w:val="24"/>
          <w:szCs w:val="24"/>
        </w:rPr>
        <w:t>体层摄影术，X线计算机；血管造影术；椎动脉；血管变异</w:t>
      </w:r>
    </w:p>
    <w:p>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常规MRI联合扩散加权成像对乳腺硬化性腺病与浸润性癌的鉴别诊断价值</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武汉科技大学附属华润武钢总医院</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徐勋华 黄晓露</w:t>
      </w: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通讯地址：湖北省武汉市青山区冶金大道209号华润武钢总医院放射科 430080</w:t>
      </w: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手机号码：15307152790</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摘要</w:t>
      </w:r>
    </w:p>
    <w:p>
      <w:pPr>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目的：</w:t>
      </w:r>
      <w:r>
        <w:rPr>
          <w:rFonts w:hint="eastAsia" w:ascii="宋体" w:hAnsi="宋体" w:eastAsia="宋体" w:cs="宋体"/>
          <w:sz w:val="24"/>
          <w:szCs w:val="24"/>
          <w:lang w:val="en-US" w:eastAsia="zh-CN"/>
        </w:rPr>
        <w:t>探讨常规MRI联合扩散加权成像（DWI）对乳腺硬化性腺病与浸润性癌的鉴别诊断价值。</w:t>
      </w:r>
    </w:p>
    <w:p>
      <w:pPr>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方法：</w:t>
      </w:r>
      <w:r>
        <w:rPr>
          <w:rFonts w:hint="eastAsia" w:ascii="宋体" w:hAnsi="宋体" w:eastAsia="宋体" w:cs="宋体"/>
          <w:sz w:val="24"/>
          <w:szCs w:val="24"/>
          <w:lang w:val="en-US" w:eastAsia="zh-CN"/>
        </w:rPr>
        <w:t>回顾性分析经手术病理或穿刺活检证实的20例乳腺硬化性腺病与32例浸润性癌的临床资料及MRI征象，所有患者均行双乳MRI平扫、动态增强（DCE-MRI）以及DWI检查。分析病灶的位置、形状、边界、时间-信号曲线（TIC）以及表观扩散系数值（ADC值），根据乳腺影像报告与数据系统2013版BI-RADS进行分类。</w:t>
      </w:r>
    </w:p>
    <w:p>
      <w:pPr>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结果：</w:t>
      </w:r>
      <w:r>
        <w:rPr>
          <w:rFonts w:hint="eastAsia" w:ascii="宋体" w:hAnsi="宋体" w:eastAsia="宋体" w:cs="宋体"/>
          <w:sz w:val="24"/>
          <w:szCs w:val="24"/>
          <w:lang w:val="en-US" w:eastAsia="zh-CN"/>
        </w:rPr>
        <w:t>20例乳腺硬化性腺病年龄38~59岁，平均50±2岁，位置随机分布，16例（80%，16/20）呈肿块样强化，其中11例（55%，11/20）边界清晰，5例（25%，5/20）边界不清晰；4例（20%，4/20）呈非肿块样强化。13例（65%，13/20）TIC呈Ⅰ型，7例（35%，7/20）呈Ⅱ型；18例（90%，18/20）ADC值大于1.05x10</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mm</w:t>
      </w:r>
      <w:r>
        <w:rPr>
          <w:rFonts w:hint="eastAsia" w:ascii="宋体" w:hAnsi="宋体" w:eastAsia="宋体" w:cs="宋体"/>
          <w:sz w:val="24"/>
          <w:szCs w:val="24"/>
          <w:vertAlign w:val="superscript"/>
          <w:lang w:val="en-US" w:eastAsia="zh-CN"/>
        </w:rPr>
        <w:t>2</w:t>
      </w:r>
      <w:r>
        <w:rPr>
          <w:rFonts w:hint="eastAsia" w:ascii="宋体" w:hAnsi="宋体" w:eastAsia="宋体" w:cs="宋体"/>
          <w:sz w:val="24"/>
          <w:szCs w:val="24"/>
          <w:lang w:val="en-US" w:eastAsia="zh-CN"/>
        </w:rPr>
        <w:t>/s；14例（70%，14/20）BI-RADS分类为3类，6例（30%，6/20）4类。32例浸润性癌41~65岁，平均54±3岁，20例（62.5%，20/32）发生在外上象限，27例（84.4%,27/32）呈肿块样强化，其中8例（25%，8/32）边缘清晰，19例（59.4%，19/32）边缘不清晰；5例（15.6%，5/32）呈非肿块样强化。18例（56.3%，18/32）TIC呈Ⅱ型，14例（43.7%，14/32）呈Ⅲ型；25例（78.1%，25/32）ADC值低于1.05x10</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mm</w:t>
      </w:r>
      <w:r>
        <w:rPr>
          <w:rFonts w:hint="eastAsia" w:ascii="宋体" w:hAnsi="宋体" w:eastAsia="宋体" w:cs="宋体"/>
          <w:sz w:val="24"/>
          <w:szCs w:val="24"/>
          <w:vertAlign w:val="superscript"/>
          <w:lang w:val="en-US" w:eastAsia="zh-CN"/>
        </w:rPr>
        <w:t>2</w:t>
      </w:r>
      <w:r>
        <w:rPr>
          <w:rFonts w:hint="eastAsia" w:ascii="宋体" w:hAnsi="宋体" w:eastAsia="宋体" w:cs="宋体"/>
          <w:sz w:val="24"/>
          <w:szCs w:val="24"/>
          <w:lang w:val="en-US" w:eastAsia="zh-CN"/>
        </w:rPr>
        <w:t>/s；3例（9.4%，3/32）BI-RADS分类为3类，22例（68.8%，22/32）为4类，7例（21.8%）为5类。</w:t>
      </w:r>
    </w:p>
    <w:p>
      <w:pPr>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结论：</w:t>
      </w:r>
      <w:r>
        <w:rPr>
          <w:rFonts w:hint="eastAsia" w:ascii="宋体" w:hAnsi="宋体" w:eastAsia="宋体" w:cs="宋体"/>
          <w:sz w:val="24"/>
          <w:szCs w:val="24"/>
          <w:lang w:val="en-US" w:eastAsia="zh-CN"/>
        </w:rPr>
        <w:t>乳腺硬化性腺病与浸润性癌MRI征象各具特点，也存在一定的交集，常规MRI联合DWI检查综合分析对两者的鉴别具有一定的临床应用价值。</w:t>
      </w:r>
    </w:p>
    <w:p>
      <w:pPr>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line="540" w:lineRule="exact"/>
        <w:jc w:val="center"/>
        <w:rPr>
          <w:rFonts w:hint="eastAsia" w:ascii="宋体" w:hAnsi="宋体" w:eastAsia="宋体" w:cs="宋体"/>
          <w:b/>
          <w:bCs/>
          <w:sz w:val="24"/>
          <w:szCs w:val="24"/>
        </w:rPr>
      </w:pPr>
      <w:r>
        <w:rPr>
          <w:rFonts w:hint="eastAsia" w:ascii="宋体" w:hAnsi="宋体" w:eastAsia="宋体" w:cs="宋体"/>
          <w:b/>
          <w:sz w:val="24"/>
          <w:szCs w:val="24"/>
        </w:rPr>
        <w:t>肝细胞癌与胆管细胞癌的MSCT、MRI鉴别诊断</w:t>
      </w:r>
    </w:p>
    <w:p>
      <w:pPr>
        <w:spacing w:line="540" w:lineRule="exact"/>
        <w:jc w:val="center"/>
        <w:rPr>
          <w:rFonts w:hint="eastAsia" w:ascii="宋体" w:hAnsi="宋体" w:eastAsia="宋体" w:cs="宋体"/>
          <w:sz w:val="24"/>
          <w:szCs w:val="24"/>
        </w:rPr>
      </w:pPr>
      <w:r>
        <w:rPr>
          <w:rFonts w:hint="eastAsia" w:ascii="宋体" w:hAnsi="宋体" w:eastAsia="宋体" w:cs="宋体"/>
          <w:sz w:val="24"/>
          <w:szCs w:val="24"/>
        </w:rPr>
        <w:t>曹阳，虎思祺，徐官珍，李胜，纪涛涛，曾蕾</w:t>
      </w:r>
    </w:p>
    <w:p>
      <w:pPr>
        <w:spacing w:line="540" w:lineRule="exact"/>
        <w:jc w:val="center"/>
        <w:rPr>
          <w:rFonts w:hint="eastAsia" w:ascii="宋体" w:hAnsi="宋体" w:eastAsia="宋体" w:cs="宋体"/>
          <w:sz w:val="24"/>
          <w:szCs w:val="24"/>
        </w:rPr>
      </w:pPr>
      <w:r>
        <w:rPr>
          <w:rFonts w:hint="eastAsia" w:ascii="宋体" w:hAnsi="宋体" w:eastAsia="宋体" w:cs="宋体"/>
          <w:sz w:val="24"/>
          <w:szCs w:val="24"/>
        </w:rPr>
        <w:t>十堰市人民医院放射影像中心</w:t>
      </w:r>
    </w:p>
    <w:p>
      <w:pPr>
        <w:spacing w:line="520" w:lineRule="exact"/>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摘要：</w:t>
      </w:r>
      <w:r>
        <w:rPr>
          <w:rFonts w:hint="eastAsia" w:ascii="宋体" w:hAnsi="宋体" w:eastAsia="宋体" w:cs="宋体"/>
          <w:sz w:val="24"/>
          <w:szCs w:val="24"/>
        </w:rPr>
        <w:t>目的 探讨多层螺旋计算机断层扫描(MSCT)与磁共振成像(MRI)动态增强扫描对肝内胆管癌(ICC)和肝细胞癌(HCC)的鉴别诊断。方法 回顾性分析2017年1月～2020年12月在我院诊治的51例原发性肝癌患者，均接受MSCT和MRI动态增强扫描。以手术后组织病理学检查诊断作为金标准，分析归纳两种疾病特点。结果 在51例原发性肝癌患者中，病理诊断ICC 26例，HCC 25例; MSCT检查显示HCC病灶动脉期强化、静脉期强化减退，延迟期持续强化减退; MRI多期扫描检查显示18例HCC患者病灶呈快进快出型强化，5例患者病灶呈快进慢出型强化，2例患者病灶呈慢进慢出型强化。MSCT检查显示ICC病灶动脉期边缘环形强化，门静脉及平衡期强化向内填充；MRI多期扫描发现20例ICC患者病灶呈慢进慢出型，6例患者病灶在动脉期和门脉期未出现明显强化，延迟期逐渐呈均匀性强化。结论 HCC患者强化模式多为快进快出，病灶较大者其内见散在斑片状低强化区；ICC患者强化模式多为渐进性强化，多伴肝内胆管扩张，淋巴结转移率高，较少有包膜。</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b/>
          <w:bCs/>
          <w:sz w:val="24"/>
          <w:szCs w:val="24"/>
        </w:rPr>
        <w:t>关键词：</w:t>
      </w:r>
      <w:r>
        <w:rPr>
          <w:rFonts w:hint="eastAsia" w:ascii="宋体" w:hAnsi="宋体" w:eastAsia="宋体" w:cs="宋体"/>
          <w:sz w:val="24"/>
          <w:szCs w:val="24"/>
        </w:rPr>
        <w:t>肝内胆管细胞癌 肝细胞癌 多层螺旋计算机断层扫描 磁共振成像 鉴别诊断</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Abstract:</w:t>
      </w:r>
      <w:r>
        <w:rPr>
          <w:rFonts w:hint="default" w:ascii="Times New Roman" w:hAnsi="Times New Roman" w:eastAsia="宋体" w:cs="Times New Roman"/>
          <w:sz w:val="24"/>
          <w:szCs w:val="24"/>
        </w:rPr>
        <w:t xml:space="preserve"> Objective: To explore the differential diagnosis of intrahepatic cholangiocarcinoma (ICC) and hepatocellular carcinoma (HCC) by multi-slice spiral computed tomography (MSCT) and dynamic contrast-enhanced magnetic resonance imaging (MRI). Methods: a retrospective analysis of 51 cases of primary liver cancer patients in our hospital from January 2017 to December 2020, all received dynamic contrast-enhanced MSCT and MRI scanning. The characteristics of the two diseases were analyzed and summarized according to the gold standard of histopathological examination after operation. Results: in 51 cases of primary liver cancer patients, pathological diagnosis of ICC in 26 cases, HCC in 25 cases; MSCT examination showed that HCC lesions in arterial phase enhancement, venous phase enhancement decreased, delayed phase continuous enhancement decreased; MRI multi-phase scan showed that 18 cases of HCC lesions showed fast in and fast out enhancement, 5 cases showed fast in and slow out enhancement, 2 cases showed slow in and slow out enhancement. MSCT examination showed that ICC lesions had annular enhancement in arterial phase, and portal vein and balanced phase enhanced inward filling; multi phase MRI scan showed that 20 cases of ICC lesions showed slow in and slow out type, 6 cases of ICC lesions showed no obvious enhancement in arterial phase and portal phase, and gradually showed homogeneous enhancement in delayed phase. Conclusion: the enhancement mode of HCC patients is fast in and fast out, and the larger lesions are scattered in patchy low enhancement areas; the enhancement mode of ICC patients is gradual enhancement, with intrahepatic bile duct dilatation, high lymph node metastasis rate and less capsule.</w:t>
      </w:r>
      <w:r>
        <w:rPr>
          <w:rFonts w:hint="default" w:ascii="Times New Roman" w:hAnsi="Times New Roman" w:eastAsia="宋体" w:cs="Times New Roman"/>
          <w:b/>
          <w:bCs/>
          <w:sz w:val="24"/>
          <w:szCs w:val="24"/>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Key Words:</w:t>
      </w:r>
      <w:r>
        <w:rPr>
          <w:rFonts w:hint="default" w:ascii="Times New Roman" w:hAnsi="Times New Roman" w:eastAsia="宋体" w:cs="Times New Roman"/>
          <w:sz w:val="24"/>
          <w:szCs w:val="24"/>
        </w:rPr>
        <w:t xml:space="preserve"> Intrahepatic cholangiocarcinoma, hepatocellular carcinoma, multi-slice spiral computed tomography, magnetic resonance imaging, differential diagnosis</w:t>
      </w:r>
    </w:p>
    <w:p>
      <w:pPr>
        <w:spacing w:line="520" w:lineRule="exact"/>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20" w:lineRule="exact"/>
        <w:ind w:firstLine="456" w:firstLineChars="190"/>
        <w:textAlignment w:val="auto"/>
        <w:rPr>
          <w:rFonts w:hint="eastAsia" w:ascii="宋体" w:hAnsi="宋体" w:eastAsia="宋体" w:cs="宋体"/>
          <w:sz w:val="24"/>
          <w:szCs w:val="24"/>
        </w:rPr>
      </w:pPr>
      <w:r>
        <w:rPr>
          <w:rFonts w:hint="eastAsia" w:ascii="宋体" w:hAnsi="宋体" w:eastAsia="宋体" w:cs="宋体"/>
          <w:sz w:val="24"/>
          <w:szCs w:val="24"/>
        </w:rPr>
        <w:t>前言  原发性肝癌主要包括肝细胞癌(HCC)、肝内胆管癌(ICC)和ICC-HCC混合型三种病理学类型，HCC和ICC是最常见的两种类型，影像学表现在很多情况下相似，难以鉴别，但两者治疗方法和预后等方面差异较大[1,2]， ICC是发病率仅次于HCC的肝脏恶性肿瘤，肝切除术是目前唯一有效的根治性治疗方法，但手术切除后治愈率低，术后肿瘤极易发生复发和转移，预后差[3] 。因此，早期准确鉴别诊断HCC与ICC，有利于制定治疗方案和预测预后。影像学检查是目前术前诊断ICC最有价值的诊断方法，有助于其定位、定性诊断和肿瘤分期[4] 。肝细胞癌是肝脏富血供病变，在MSCT增强扫描上表现为典型的快进快出强化特征，动脉期强化、门脉期强化程度下降、延迟期呈低密度[6] 。但临床存在部分富血供胆管细胞癌。本研究采用MSCT和MRI增强扫描，探讨了ICC与HCC的鉴别诊断，现报道如下。</w:t>
      </w:r>
    </w:p>
    <w:p>
      <w:pPr>
        <w:keepNext w:val="0"/>
        <w:keepLines w:val="0"/>
        <w:pageBreakBefore w:val="0"/>
        <w:widowControl w:val="0"/>
        <w:kinsoku/>
        <w:wordWrap/>
        <w:overflowPunct/>
        <w:topLinePunct w:val="0"/>
        <w:autoSpaceDE/>
        <w:autoSpaceDN/>
        <w:bidi w:val="0"/>
        <w:adjustRightInd/>
        <w:snapToGrid/>
        <w:spacing w:line="320" w:lineRule="exact"/>
        <w:ind w:firstLine="458" w:firstLineChars="190"/>
        <w:textAlignment w:val="auto"/>
        <w:rPr>
          <w:rFonts w:hint="eastAsia" w:ascii="宋体" w:hAnsi="宋体" w:eastAsia="宋体" w:cs="宋体"/>
          <w:b/>
          <w:bCs/>
          <w:sz w:val="24"/>
          <w:szCs w:val="24"/>
        </w:rPr>
      </w:pPr>
      <w:r>
        <w:rPr>
          <w:rFonts w:hint="eastAsia" w:ascii="宋体" w:hAnsi="宋体" w:eastAsia="宋体" w:cs="宋体"/>
          <w:b/>
          <w:bCs/>
          <w:sz w:val="24"/>
          <w:szCs w:val="24"/>
        </w:rPr>
        <w:t>1．资料与方法</w:t>
      </w:r>
    </w:p>
    <w:p>
      <w:pPr>
        <w:keepNext w:val="0"/>
        <w:keepLines w:val="0"/>
        <w:pageBreakBefore w:val="0"/>
        <w:widowControl w:val="0"/>
        <w:kinsoku/>
        <w:wordWrap/>
        <w:overflowPunct/>
        <w:topLinePunct w:val="0"/>
        <w:autoSpaceDE/>
        <w:autoSpaceDN/>
        <w:bidi w:val="0"/>
        <w:adjustRightInd/>
        <w:snapToGrid/>
        <w:spacing w:line="320" w:lineRule="exact"/>
        <w:ind w:left="1" w:firstLine="456" w:firstLineChars="190"/>
        <w:textAlignment w:val="auto"/>
        <w:rPr>
          <w:rFonts w:hint="eastAsia" w:ascii="宋体" w:hAnsi="宋体" w:eastAsia="宋体" w:cs="宋体"/>
          <w:sz w:val="24"/>
          <w:szCs w:val="24"/>
        </w:rPr>
      </w:pPr>
      <w:r>
        <w:rPr>
          <w:rFonts w:hint="eastAsia" w:ascii="宋体" w:hAnsi="宋体" w:eastAsia="宋体" w:cs="宋体"/>
          <w:sz w:val="24"/>
          <w:szCs w:val="24"/>
        </w:rPr>
        <w:t>1.1一般资料</w:t>
      </w:r>
    </w:p>
    <w:p>
      <w:pPr>
        <w:keepNext w:val="0"/>
        <w:keepLines w:val="0"/>
        <w:pageBreakBefore w:val="0"/>
        <w:widowControl w:val="0"/>
        <w:kinsoku/>
        <w:wordWrap/>
        <w:overflowPunct/>
        <w:topLinePunct w:val="0"/>
        <w:autoSpaceDE/>
        <w:autoSpaceDN/>
        <w:bidi w:val="0"/>
        <w:adjustRightInd/>
        <w:snapToGrid/>
        <w:spacing w:line="320" w:lineRule="exact"/>
        <w:ind w:left="1" w:firstLine="456" w:firstLineChars="190"/>
        <w:textAlignment w:val="auto"/>
        <w:rPr>
          <w:rFonts w:hint="eastAsia" w:ascii="宋体" w:hAnsi="宋体" w:eastAsia="宋体" w:cs="宋体"/>
          <w:sz w:val="24"/>
          <w:szCs w:val="24"/>
        </w:rPr>
      </w:pPr>
      <w:r>
        <w:rPr>
          <w:rFonts w:hint="eastAsia" w:ascii="宋体" w:hAnsi="宋体" w:eastAsia="宋体" w:cs="宋体"/>
          <w:sz w:val="24"/>
          <w:szCs w:val="24"/>
        </w:rPr>
        <w:t>回顾性收集2017年1月～2020年12月我院收治的原发性肝癌患者51例，男性30例，女性21例;年龄40～72岁;平均年龄为(56.2±6.2)岁。纳入标准:手术后组织病理学检查诊断，均接受MSCT和MRI检查，年龄&gt;18岁，入组之前未经放、化疗或免疫治疗等抗癌治疗。排除标准:(1)合并其他恶性肿瘤;(2)转移性肝癌;(3)术后病理学检查诊断为ICC-HCC混合型肝癌;(4)存在肝病手术史。</w:t>
      </w:r>
    </w:p>
    <w:p>
      <w:pPr>
        <w:keepNext w:val="0"/>
        <w:keepLines w:val="0"/>
        <w:pageBreakBefore w:val="0"/>
        <w:widowControl w:val="0"/>
        <w:kinsoku/>
        <w:wordWrap/>
        <w:overflowPunct/>
        <w:topLinePunct w:val="0"/>
        <w:autoSpaceDE/>
        <w:autoSpaceDN/>
        <w:bidi w:val="0"/>
        <w:adjustRightInd/>
        <w:snapToGrid/>
        <w:spacing w:line="320" w:lineRule="exact"/>
        <w:ind w:firstLine="456" w:firstLineChars="190"/>
        <w:textAlignment w:val="auto"/>
        <w:rPr>
          <w:rFonts w:hint="eastAsia" w:ascii="宋体" w:hAnsi="宋体" w:eastAsia="宋体" w:cs="宋体"/>
          <w:sz w:val="24"/>
          <w:szCs w:val="24"/>
        </w:rPr>
      </w:pPr>
      <w:r>
        <w:rPr>
          <w:rFonts w:hint="eastAsia" w:ascii="宋体" w:hAnsi="宋体" w:eastAsia="宋体" w:cs="宋体"/>
          <w:sz w:val="24"/>
          <w:szCs w:val="24"/>
        </w:rPr>
        <w:t>1.2检查方法</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4"/>
          <w:szCs w:val="24"/>
        </w:rPr>
      </w:pPr>
      <w:r>
        <w:rPr>
          <w:rFonts w:hint="eastAsia" w:ascii="宋体" w:hAnsi="宋体" w:eastAsia="宋体" w:cs="宋体"/>
          <w:sz w:val="24"/>
          <w:szCs w:val="24"/>
        </w:rPr>
        <w:t>CT检查方法:嘱受检查者前一晚流质饮食,检查之前为空腹状态。采用64层螺旋CT扫描仪(Sensation 64,Siemens Medical Solutions)进行多期像(动脉期、门脉期和平衡期)扫描,采用0.625～1 mm层厚连续容积扫描模式,扫描参数:管电压120 kV,有效管电流200～350 mAs,螺距为3mm,重建层厚5.0 mm,间距5.0 mm行上腹部平扫，后使用高压注射器经肘静脉注入非离子型对比剂碘必乐(350 mgI/ml,Bracco,Milano,Italy)80～100 ml, 注射流率为3.0～4.0 ml/s,分别于注射对比剂后25 s、50～60 s和90～120 s行动脉期、门脉期和平衡期增强扫描。</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MRI检查方法:检查前4 h禁饮食,患者取仰卧位,体部相控阵线圈。采用飞利浦公司3.0 T(Achieva)或1.5T(Gyroscan Intera)磁共振成像设备,采用Sense XL Torsl 16通道线圈,扫描体位为冠位及轴位。先行常规平扫，后用高压注射器经肘前静脉注射钆喷替酸葡甲胺(Gg-DTPA),用量为0.1 mmol/kg,按照2 ml/s注射,之后注入生理盐水20 ml。分别于注射对比剂后15～20 s、60～63 s、180 s行动脉期、门脉期和平衡期增强扫描。扫描序列包括常规T1WI及T2WI序列,T1WI冠位采用屏气梯度回波序列eThrive(FFE:TR/TE 为3 ms/1.43 ms,偏转角度10°,1 次信号采集),T1WI轴位用双回波序列mDIXON(FFE:TR/TE1/TE2 为3.3 ms/1.16 ms/2.1 ms,偏转角度10°,1 次信号采集),T2WI采用脂肪抑制快速自旋回波序列(TSE:TR/TE 为1 305 ms/80 ms,TSE factor为24,3次信号采集)。 在常规T1WI及T2WI序列扫描结束后患者均行T1WI增强扫描,冠位和轴位参数均同平扫。</w:t>
      </w:r>
    </w:p>
    <w:p>
      <w:pPr>
        <w:keepNext w:val="0"/>
        <w:keepLines w:val="0"/>
        <w:pageBreakBefore w:val="0"/>
        <w:widowControl w:val="0"/>
        <w:kinsoku/>
        <w:wordWrap/>
        <w:overflowPunct/>
        <w:topLinePunct w:val="0"/>
        <w:autoSpaceDE/>
        <w:autoSpaceDN/>
        <w:bidi w:val="0"/>
        <w:adjustRightInd/>
        <w:snapToGrid/>
        <w:spacing w:line="320" w:lineRule="exact"/>
        <w:ind w:firstLine="456" w:firstLineChars="19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20" w:lineRule="exact"/>
        <w:ind w:firstLine="458" w:firstLineChars="190"/>
        <w:textAlignment w:val="auto"/>
        <w:rPr>
          <w:rFonts w:hint="eastAsia" w:ascii="宋体" w:hAnsi="宋体" w:eastAsia="宋体" w:cs="宋体"/>
          <w:b/>
          <w:bCs/>
          <w:sz w:val="24"/>
          <w:szCs w:val="24"/>
        </w:rPr>
      </w:pPr>
      <w:r>
        <w:rPr>
          <w:rFonts w:hint="eastAsia" w:ascii="宋体" w:hAnsi="宋体" w:eastAsia="宋体" w:cs="宋体"/>
          <w:b/>
          <w:bCs/>
          <w:sz w:val="24"/>
          <w:szCs w:val="24"/>
        </w:rPr>
        <w:t>2．结果</w:t>
      </w:r>
    </w:p>
    <w:p>
      <w:pPr>
        <w:keepNext w:val="0"/>
        <w:keepLines w:val="0"/>
        <w:pageBreakBefore w:val="0"/>
        <w:widowControl w:val="0"/>
        <w:kinsoku/>
        <w:wordWrap/>
        <w:overflowPunct/>
        <w:topLinePunct w:val="0"/>
        <w:autoSpaceDE/>
        <w:autoSpaceDN/>
        <w:bidi w:val="0"/>
        <w:adjustRightInd/>
        <w:snapToGrid/>
        <w:spacing w:line="320" w:lineRule="exact"/>
        <w:ind w:left="1" w:firstLine="456" w:firstLineChars="190"/>
        <w:textAlignment w:val="auto"/>
        <w:rPr>
          <w:rFonts w:hint="eastAsia" w:ascii="宋体" w:hAnsi="宋体" w:eastAsia="宋体" w:cs="宋体"/>
          <w:sz w:val="24"/>
          <w:szCs w:val="24"/>
        </w:rPr>
      </w:pPr>
      <w:r>
        <w:rPr>
          <w:rFonts w:hint="eastAsia" w:ascii="宋体" w:hAnsi="宋体" w:eastAsia="宋体" w:cs="宋体"/>
          <w:sz w:val="24"/>
          <w:szCs w:val="24"/>
        </w:rPr>
        <w:t>2.1手术后组织病理学诊断结果</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经手术后组织病理学检查，在51例原发性肝癌患者中，诊断ICC 26例，HCC 25例。</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 HCC和ICC患者MSCT增强扫描表现</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在25例HCC患者中， 21例动脉期检出病灶，其中14例患者病灶在动脉期出现明显的均匀强化，4例患者病灶强化不均匀，表现为中心点状强化或边缘强化。3例患者病灶强化不明显，呈等密度。静脉期，在25例动脉期显示病灶的患者中，3例呈稍高密度，15例呈低密度病灶，7例呈等密度病灶。延迟期，18例患者表现为低密度病灶，7例呈等密度病灶;在26例ICC患者中，8例患者在动脉期检出病灶，其中3例病灶为均匀强化，5例病灶出现不均匀强化，表现为边缘环形或不规则型强化，门脉期和延迟期都出现持续性的强化(图1a、b)。7例患者在动脉期和门脉期病灶均未出现强化。</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 HCC和ICC患者MRI增强扫描表现</w:t>
      </w:r>
    </w:p>
    <w:p>
      <w:pPr>
        <w:keepNext w:val="0"/>
        <w:keepLines w:val="0"/>
        <w:pageBreakBefore w:val="0"/>
        <w:widowControl w:val="0"/>
        <w:kinsoku/>
        <w:wordWrap/>
        <w:overflowPunct/>
        <w:topLinePunct w:val="0"/>
        <w:autoSpaceDE/>
        <w:autoSpaceDN/>
        <w:bidi w:val="0"/>
        <w:adjustRightInd/>
        <w:snapToGrid/>
        <w:spacing w:line="32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在25例HCC患者中，18例患者动脉期检出病灶，其中13例出现轻度或明显的均匀强化，5例患者病灶出现不均匀强化，表现为病灶中心点状强化或边缘斑块状强化。在门静脉期7例患者病灶密度明显降低，延迟期病灶密度降低，均为等密度或低密度，呈快进快出型强化模式(图1c、d)。17例患者病灶在动脉期和门脉期均强化，延迟期病灶密度降低，呈快进慢出型强化模式。2例患者在动脉期病灶均未见强化，门脉期和延迟期出现强化，呈慢进慢出型强化模式;在26例ICC患者中，18例患者在动脉期检出病灶，4例病灶为均匀强化，6例出现不均匀强化，表现为不规则型或边缘环形，静脉期和延迟期病灶内部不均匀片状持续强化，呈慢进慢出型强化模式。8例患者在动脉期和门脉期未出现明显强化，延迟期逐渐呈均匀性强化。</w:t>
      </w:r>
    </w:p>
    <w:p>
      <w:pPr>
        <w:spacing w:line="520" w:lineRule="exact"/>
        <w:rPr>
          <w:rFonts w:hint="eastAsia" w:ascii="宋体" w:hAnsi="宋体" w:eastAsia="宋体" w:cs="宋体"/>
          <w:sz w:val="24"/>
          <w:szCs w:val="24"/>
        </w:rPr>
      </w:pPr>
    </w:p>
    <w:p>
      <w:pPr>
        <w:spacing w:line="520" w:lineRule="exact"/>
        <w:ind w:firstLine="360" w:firstLineChars="150"/>
        <w:rPr>
          <w:rFonts w:hint="eastAsia" w:ascii="宋体" w:hAnsi="宋体" w:eastAsia="宋体" w:cs="宋体"/>
          <w:b/>
          <w:bCs/>
          <w:sz w:val="24"/>
          <w:szCs w:val="24"/>
        </w:rPr>
      </w:pPr>
      <w:r>
        <w:rPr>
          <w:rFonts w:hint="eastAsia" w:ascii="宋体" w:hAnsi="宋体" w:eastAsia="宋体" w:cs="宋体"/>
          <w:sz w:val="24"/>
          <w:szCs w:val="24"/>
        </w:rPr>
        <w:t>1a</w:t>
      </w:r>
      <w:r>
        <w:rPr>
          <w:rFonts w:hint="eastAsia" w:ascii="宋体" w:hAnsi="宋体" w:eastAsia="宋体" w:cs="宋体"/>
          <w:sz w:val="24"/>
          <w:szCs w:val="24"/>
        </w:rPr>
        <w:drawing>
          <wp:inline distT="0" distB="0" distL="114300" distR="114300">
            <wp:extent cx="1099185" cy="1134745"/>
            <wp:effectExtent l="0" t="0" r="571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1099185" cy="1134745"/>
                    </a:xfrm>
                    <a:prstGeom prst="rect">
                      <a:avLst/>
                    </a:prstGeom>
                    <a:noFill/>
                    <a:ln>
                      <a:noFill/>
                    </a:ln>
                  </pic:spPr>
                </pic:pic>
              </a:graphicData>
            </a:graphic>
          </wp:inline>
        </w:drawing>
      </w:r>
      <w:r>
        <w:rPr>
          <w:rFonts w:hint="eastAsia" w:ascii="宋体" w:hAnsi="宋体" w:eastAsia="宋体" w:cs="宋体"/>
          <w:sz w:val="24"/>
          <w:szCs w:val="24"/>
        </w:rPr>
        <w:t>1b</w:t>
      </w:r>
      <w:r>
        <w:rPr>
          <w:rFonts w:hint="eastAsia" w:ascii="宋体" w:hAnsi="宋体" w:eastAsia="宋体" w:cs="宋体"/>
          <w:sz w:val="24"/>
          <w:szCs w:val="24"/>
        </w:rPr>
        <w:drawing>
          <wp:inline distT="0" distB="0" distL="114300" distR="114300">
            <wp:extent cx="1050925" cy="1133475"/>
            <wp:effectExtent l="0" t="0" r="1587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1050925" cy="1133475"/>
                    </a:xfrm>
                    <a:prstGeom prst="rect">
                      <a:avLst/>
                    </a:prstGeom>
                    <a:noFill/>
                    <a:ln>
                      <a:noFill/>
                    </a:ln>
                  </pic:spPr>
                </pic:pic>
              </a:graphicData>
            </a:graphic>
          </wp:inline>
        </w:drawing>
      </w:r>
      <w:r>
        <w:rPr>
          <w:rFonts w:hint="eastAsia" w:ascii="宋体" w:hAnsi="宋体" w:eastAsia="宋体" w:cs="宋体"/>
          <w:sz w:val="24"/>
          <w:szCs w:val="24"/>
        </w:rPr>
        <w:t>1c</w:t>
      </w:r>
      <w:r>
        <w:rPr>
          <w:rFonts w:hint="eastAsia" w:ascii="宋体" w:hAnsi="宋体" w:eastAsia="宋体" w:cs="宋体"/>
          <w:sz w:val="24"/>
          <w:szCs w:val="24"/>
        </w:rPr>
        <w:drawing>
          <wp:inline distT="0" distB="0" distL="114300" distR="114300">
            <wp:extent cx="1114425" cy="1131570"/>
            <wp:effectExtent l="0" t="0" r="9525"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1114425" cy="1131570"/>
                    </a:xfrm>
                    <a:prstGeom prst="rect">
                      <a:avLst/>
                    </a:prstGeom>
                    <a:noFill/>
                    <a:ln>
                      <a:noFill/>
                    </a:ln>
                  </pic:spPr>
                </pic:pic>
              </a:graphicData>
            </a:graphic>
          </wp:inline>
        </w:drawing>
      </w:r>
      <w:r>
        <w:rPr>
          <w:rFonts w:hint="eastAsia" w:ascii="宋体" w:hAnsi="宋体" w:eastAsia="宋体" w:cs="宋体"/>
          <w:sz w:val="24"/>
          <w:szCs w:val="24"/>
        </w:rPr>
        <w:t>1d</w:t>
      </w:r>
      <w:r>
        <w:rPr>
          <w:rFonts w:hint="eastAsia" w:ascii="宋体" w:hAnsi="宋体" w:eastAsia="宋体" w:cs="宋体"/>
          <w:b/>
          <w:bCs/>
          <w:sz w:val="24"/>
          <w:szCs w:val="24"/>
        </w:rPr>
        <w:drawing>
          <wp:inline distT="0" distB="0" distL="114300" distR="114300">
            <wp:extent cx="1077595" cy="1151255"/>
            <wp:effectExtent l="0" t="0" r="825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1077595" cy="1151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2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图1  ICC患者腹部影像学表现a/b：57岁男性，胆管细胞癌，增强ct显示门脉期和延迟期都出现持续性的强化；c/d60岁男性，肝细胞癌患者，增强MRI显示，动脉期病灶明显强化，门静脉期强化减退</w:t>
      </w:r>
    </w:p>
    <w:p>
      <w:pPr>
        <w:keepNext w:val="0"/>
        <w:keepLines w:val="0"/>
        <w:pageBreakBefore w:val="0"/>
        <w:widowControl w:val="0"/>
        <w:kinsoku/>
        <w:wordWrap/>
        <w:overflowPunct/>
        <w:topLinePunct w:val="0"/>
        <w:autoSpaceDE/>
        <w:autoSpaceDN/>
        <w:bidi w:val="0"/>
        <w:spacing w:line="320" w:lineRule="exact"/>
        <w:ind w:firstLine="458" w:firstLineChars="190"/>
        <w:textAlignment w:val="auto"/>
        <w:rPr>
          <w:rFonts w:hint="eastAsia" w:ascii="宋体" w:hAnsi="宋体" w:eastAsia="宋体" w:cs="宋体"/>
          <w:b/>
          <w:bCs/>
          <w:sz w:val="24"/>
          <w:szCs w:val="24"/>
        </w:rPr>
      </w:pPr>
      <w:r>
        <w:rPr>
          <w:rFonts w:hint="eastAsia" w:ascii="宋体" w:hAnsi="宋体" w:eastAsia="宋体" w:cs="宋体"/>
          <w:b/>
          <w:bCs/>
          <w:sz w:val="24"/>
          <w:szCs w:val="24"/>
        </w:rPr>
        <w:t>3．讨论</w:t>
      </w:r>
    </w:p>
    <w:p>
      <w:pPr>
        <w:keepNext w:val="0"/>
        <w:keepLines w:val="0"/>
        <w:pageBreakBefore w:val="0"/>
        <w:widowControl w:val="0"/>
        <w:kinsoku/>
        <w:wordWrap/>
        <w:overflowPunct/>
        <w:topLinePunct w:val="0"/>
        <w:autoSpaceDE/>
        <w:autoSpaceDN/>
        <w:bidi w:val="0"/>
        <w:spacing w:line="320" w:lineRule="exact"/>
        <w:ind w:left="1" w:firstLine="456" w:firstLineChars="190"/>
        <w:textAlignment w:val="auto"/>
        <w:rPr>
          <w:rFonts w:hint="eastAsia" w:ascii="宋体" w:hAnsi="宋体" w:eastAsia="宋体" w:cs="宋体"/>
          <w:sz w:val="24"/>
          <w:szCs w:val="24"/>
        </w:rPr>
      </w:pPr>
      <w:r>
        <w:rPr>
          <w:rFonts w:hint="eastAsia" w:ascii="宋体" w:hAnsi="宋体" w:eastAsia="宋体" w:cs="宋体"/>
          <w:sz w:val="24"/>
          <w:szCs w:val="24"/>
        </w:rPr>
        <w:t>肿瘤内血管是支撑肿瘤生长的关键因素 [9] 。观察肿瘤血供有利于评估其侵袭性和恶性程度，在鉴别病灶的良性还是恶性肿瘤的组织病理学类型方面也大有帮助 [10] 。MSCT/MRI增强扫描均能通过反映肿瘤病灶的血流动力学特征以提高疾病的诊断效能 [12] 。研究显示, 肝脏肿瘤之所以在MSCT上增强区域延迟或延长与组织病理的纤维间质相对应,是因为碘对比剂在纤维组织的血管外流量的快进快出 [9, 10] 。肝细胞癌的组织病理学表现为肿瘤细胞呈多边形，多以梁索状排列，梁索之间含有血窦，而肝内胆管细胞癌多以腺癌为主，肿瘤细胞呈立方体或柱状，癌细胞周围含有较多的纤维组织[10]，微环境的差异在图像上表现为人类肉眼不易辨认的非均匀度、平滑度、颗粒度和粗糙度。肝内ICC具有丰富的纤维组织, 而HCC除了硬化性肝癌、纤维板层癌和治疗后的肝癌, 较少发生瘤内纤维化 [11] 。富血供型肝内胆管癌与典型肝内胆管细胞癌相比较, 肿瘤内纤维数量较低, 但仍高于肝细胞肝癌中的纤维数量, 在一定程度上反映平衡期中增强CT值的差异 [12] 。肝内胆管癌与肝细胞癌肿瘤未增强期差异可能与肿瘤密度不同相关, 富血供肝内胆管癌随着瘤内成纤维细胞增生, 肿瘤成比例减少, 因此富血供肝内胆管癌中肿瘤实质细胞比例低于肝细胞癌, 此外肿瘤细胞类型、细胞密度、基质组织反应、管状腺癌含量等均可导致肿瘤微环境的异常, 导致肝细胞癌和富血供肝内胆管癌未增强期CT值的差异 [13, 14] 。在形态上HCC比ICC更加呈球形，结构更加紧密，另外当肝内胆管细胞癌病变黏液变性不明显,且肿瘤纤维间质不丰富而肿瘤实质成分较多时,可表现为原发性肝细胞癌的快进快出的强化特点,但是HCC呈膨胀性生长,可压迫邻近肝组织或引起肝组织纤维化反应形成假包膜,出现“晕圈征”,而且原发性肝细胞癌在增强后期因肿瘤内不仅有纤维间隔成分,还有受侵和坏死的肝细胞，对比剂的廓清效率出现不一致而呈现不均匀强化被称为“镶嵌征”。其典型的“快进快出”强化、“晕圈征”以及“镶嵌征”是诊断原发性肝癌的特异性征像,结合临床有无肝硬化、AFP升高、淋巴结转移以及门脉受侵可资鉴别。</w:t>
      </w:r>
    </w:p>
    <w:p>
      <w:pPr>
        <w:keepNext w:val="0"/>
        <w:keepLines w:val="0"/>
        <w:pageBreakBefore w:val="0"/>
        <w:widowControl w:val="0"/>
        <w:kinsoku/>
        <w:wordWrap/>
        <w:overflowPunct/>
        <w:topLinePunct w:val="0"/>
        <w:autoSpaceDE/>
        <w:autoSpaceDN/>
        <w:bidi w:val="0"/>
        <w:spacing w:line="320" w:lineRule="exact"/>
        <w:ind w:firstLine="456" w:firstLineChars="190"/>
        <w:textAlignment w:val="auto"/>
        <w:rPr>
          <w:rFonts w:hint="eastAsia" w:ascii="宋体" w:hAnsi="宋体" w:eastAsia="宋体" w:cs="宋体"/>
          <w:sz w:val="24"/>
          <w:szCs w:val="24"/>
        </w:rPr>
      </w:pPr>
      <w:r>
        <w:rPr>
          <w:rFonts w:hint="eastAsia" w:ascii="宋体" w:hAnsi="宋体" w:eastAsia="宋体" w:cs="宋体"/>
          <w:sz w:val="24"/>
          <w:szCs w:val="24"/>
        </w:rPr>
        <w:t>结论 综上所述，HCC患者中，病灶在MSCT平扫上呈低密度均匀为主,增强各期密度多不均匀，增强扫描动脉期呈高密度为主,门静脉期、平衡期以低密度为主,强化方式表现为“快进快出”,病灶较大者其内见散在斑片状低强化区，可伴有晕圈征”以及“镶嵌征”。ICC患者,MSCT平扫以低密度为主;大部分平扫及增强各期密度不均匀,增强各期均呈低密度为主,强化方式表现为“慢进慢出”,大部分呈网格状或环状强化，多伴肝内胆管扩张，淋巴结转移率高，较少有包膜。</w:t>
      </w:r>
    </w:p>
    <w:p>
      <w:pPr>
        <w:keepNext w:val="0"/>
        <w:keepLines w:val="0"/>
        <w:pageBreakBefore w:val="0"/>
        <w:widowControl w:val="0"/>
        <w:kinsoku/>
        <w:wordWrap/>
        <w:overflowPunct/>
        <w:topLinePunct w:val="0"/>
        <w:autoSpaceDE/>
        <w:autoSpaceDN/>
        <w:bidi w:val="0"/>
        <w:spacing w:line="320" w:lineRule="exact"/>
        <w:ind w:firstLine="463" w:firstLineChars="192"/>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参考文献： </w:t>
      </w:r>
    </w:p>
    <w:p>
      <w:pPr>
        <w:keepNext w:val="0"/>
        <w:keepLines w:val="0"/>
        <w:pageBreakBefore w:val="0"/>
        <w:widowControl w:val="0"/>
        <w:kinsoku/>
        <w:wordWrap/>
        <w:overflowPunct/>
        <w:topLinePunct w:val="0"/>
        <w:autoSpaceDE/>
        <w:autoSpaceDN/>
        <w:bidi w:val="0"/>
        <w:adjustRightInd w:val="0"/>
        <w:snapToGrid w:val="0"/>
        <w:spacing w:line="320" w:lineRule="exact"/>
        <w:ind w:firstLine="460" w:firstLineChars="192"/>
        <w:textAlignment w:val="auto"/>
        <w:rPr>
          <w:rFonts w:hint="eastAsia" w:ascii="宋体" w:hAnsi="宋体" w:eastAsia="宋体" w:cs="宋体"/>
          <w:sz w:val="24"/>
          <w:szCs w:val="24"/>
        </w:rPr>
      </w:pPr>
      <w:r>
        <w:rPr>
          <w:rFonts w:hint="eastAsia" w:ascii="宋体" w:hAnsi="宋体" w:eastAsia="宋体" w:cs="宋体"/>
          <w:sz w:val="24"/>
          <w:szCs w:val="24"/>
        </w:rPr>
        <w:t xml:space="preserve">[1]Sia D,Villanueva A,Friedman SL,et al. Liver cancer cell of origin,molecular class,and effects on patient prognosis. Gastroenterology,2017,152(4):745–761.  </w:t>
      </w:r>
    </w:p>
    <w:p>
      <w:pPr>
        <w:keepNext w:val="0"/>
        <w:keepLines w:val="0"/>
        <w:pageBreakBefore w:val="0"/>
        <w:widowControl w:val="0"/>
        <w:kinsoku/>
        <w:wordWrap/>
        <w:overflowPunct/>
        <w:topLinePunct w:val="0"/>
        <w:autoSpaceDE/>
        <w:autoSpaceDN/>
        <w:bidi w:val="0"/>
        <w:adjustRightInd w:val="0"/>
        <w:snapToGrid w:val="0"/>
        <w:spacing w:line="320" w:lineRule="exact"/>
        <w:ind w:firstLine="460" w:firstLineChars="192"/>
        <w:textAlignment w:val="auto"/>
        <w:rPr>
          <w:rFonts w:hint="eastAsia" w:ascii="宋体" w:hAnsi="宋体" w:eastAsia="宋体" w:cs="宋体"/>
          <w:sz w:val="24"/>
          <w:szCs w:val="24"/>
        </w:rPr>
      </w:pPr>
      <w:r>
        <w:rPr>
          <w:rFonts w:hint="eastAsia" w:ascii="宋体" w:hAnsi="宋体" w:eastAsia="宋体" w:cs="宋体"/>
          <w:sz w:val="24"/>
          <w:szCs w:val="24"/>
        </w:rPr>
        <w:t>[2]Orcutt ST,Anaya DA. Liverresection and surgical strategies for management of primary liver cancer. Cancer Control. 2018,25(1):1-15.</w:t>
      </w:r>
    </w:p>
    <w:p>
      <w:pPr>
        <w:keepNext w:val="0"/>
        <w:keepLines w:val="0"/>
        <w:pageBreakBefore w:val="0"/>
        <w:widowControl w:val="0"/>
        <w:kinsoku/>
        <w:wordWrap/>
        <w:overflowPunct/>
        <w:topLinePunct w:val="0"/>
        <w:autoSpaceDE/>
        <w:autoSpaceDN/>
        <w:bidi w:val="0"/>
        <w:adjustRightInd w:val="0"/>
        <w:snapToGrid w:val="0"/>
        <w:spacing w:line="320" w:lineRule="exact"/>
        <w:ind w:firstLine="460" w:firstLineChars="192"/>
        <w:textAlignment w:val="auto"/>
        <w:rPr>
          <w:rFonts w:hint="eastAsia" w:ascii="宋体" w:hAnsi="宋体" w:eastAsia="宋体" w:cs="宋体"/>
          <w:sz w:val="24"/>
          <w:szCs w:val="24"/>
        </w:rPr>
      </w:pPr>
      <w:r>
        <w:rPr>
          <w:rFonts w:hint="eastAsia" w:ascii="宋体" w:hAnsi="宋体" w:eastAsia="宋体" w:cs="宋体"/>
          <w:sz w:val="24"/>
          <w:szCs w:val="24"/>
        </w:rPr>
        <w:t>[3] 李烽.多期增强CT对富血供肝内胆管癌与肝细胞癌的鉴别诊断价值[J].全科医学临床与教育,2019,(03):236-239.</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 张志.增强CT瘤内动脉鉴别肝内胆管细胞癌和低分化肝细胞癌的价值[J].中国CT和MRI杂志,2016,14(04):74-76+83.</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[5]Pandey A, Pandey P, Aliyari Ghasabeh M, et al.Unre-sectable intrahepatic cholangiocarcinoma:Multiparametric MR imaging to predict patient survival[J]. Radiology, 2018, 288 (1) :109-117.</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 马志强.肿块型肝内胆管细胞癌与低分化肝细胞癌CT影像学特征研究[J].现代医药卫生,2019,(12):1856-1858.</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 冯忠园;叶靖.基于T_2WI影像组学鉴别肝细胞癌与肝内胆管细胞癌的研究[J].临床医学研究与实践,2020,(22):1-4.</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 梁伟强;王猛;冯艳青;彭振鹏.肝细胞癌合并肝门部胆管癌栓与肝门部胆管癌的CT鉴别诊断[J].中华普通外科学文献(电子版),2021,(01):32-37.</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[9]Berretta M,Cavaliere C,Alessandrini L,et al.Serum and tissue markers in hepatocellular carcinoma and cholangiocarcinoma:clinical and prognostic implications[J].Oncotarget,2017,8(8):14192-14220.</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 曾玉萍;罗建东;冷晓明;刘庆余.肝细胞癌合并胆管癌栓与肝内胆管细胞癌的CT、MRI鉴别诊断[J].现代肿瘤医学,2020,28(01):108-113.</w:t>
      </w:r>
    </w:p>
    <w:p>
      <w:pPr>
        <w:keepNext w:val="0"/>
        <w:keepLines w:val="0"/>
        <w:pageBreakBefore w:val="0"/>
        <w:widowControl w:val="0"/>
        <w:kinsoku/>
        <w:wordWrap/>
        <w:overflowPunct/>
        <w:topLinePunct w:val="0"/>
        <w:autoSpaceDE/>
        <w:autoSpaceDN/>
        <w:bidi w:val="0"/>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[11] S.H.Choi;S.S.Lee;S.Y.Kim;S.H.Park;S.H.Park;K.M.Kim;刘月华.肝硬化病人肝内胆管细胞癌:采用钆塞酸MRI增强和动态CT增强与肝细胞癌进行鉴别[J].国际医学放射学杂志,2017,(03):338.</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 那生渤.对比分析肝内型胆管细胞癌与肝细胞癌采用CT的鉴别诊断[J].中国实用医药,2016,(07):50-51.</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 徐桂军, 朱建友, 翟慎国, 等.肝细胞癌与肝内周围型胆管细胞癌的螺旋CT动态增强与病理分析.中华肝胆外科杂志, 2010, 16 (4) :253-256.</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 于艳红, 汪海生, 鄂宏臣, 等.周围型肝内胆管细胞癌的CT诊断及鉴别.中国现代药物应用, 2010, 4 (3) :65-66.</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 王玉成.周围型肝内胆管细胞癌28例CT征象与误诊分析.福建医药杂志, 2012, 34 (6) :121-123.</w:t>
      </w:r>
    </w:p>
    <w:p>
      <w:pPr>
        <w:rPr>
          <w:rFonts w:hint="eastAsia" w:ascii="宋体" w:hAnsi="宋体" w:eastAsia="宋体" w:cs="宋体"/>
          <w:sz w:val="24"/>
          <w:szCs w:val="24"/>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line="540" w:lineRule="exact"/>
        <w:jc w:val="center"/>
        <w:rPr>
          <w:rFonts w:hint="eastAsia" w:ascii="宋体" w:hAnsi="宋体" w:eastAsia="宋体" w:cs="宋体"/>
          <w:b/>
          <w:bCs/>
          <w:sz w:val="24"/>
          <w:szCs w:val="24"/>
        </w:rPr>
      </w:pPr>
      <w:r>
        <w:rPr>
          <w:rFonts w:hint="eastAsia" w:ascii="宋体" w:hAnsi="宋体" w:eastAsia="宋体" w:cs="宋体"/>
          <w:b/>
          <w:bCs/>
          <w:sz w:val="24"/>
          <w:szCs w:val="24"/>
        </w:rPr>
        <w:t>腮腺良恶性肿瘤CT影像学表现及其对临床的价值</w:t>
      </w:r>
    </w:p>
    <w:p>
      <w:pPr>
        <w:spacing w:line="540" w:lineRule="exact"/>
        <w:jc w:val="center"/>
        <w:rPr>
          <w:rFonts w:hint="eastAsia" w:ascii="宋体" w:hAnsi="宋体" w:eastAsia="宋体" w:cs="宋体"/>
          <w:sz w:val="24"/>
          <w:szCs w:val="24"/>
        </w:rPr>
      </w:pPr>
      <w:r>
        <w:rPr>
          <w:rFonts w:hint="eastAsia" w:ascii="宋体" w:hAnsi="宋体" w:eastAsia="宋体" w:cs="宋体"/>
          <w:sz w:val="24"/>
          <w:szCs w:val="24"/>
        </w:rPr>
        <w:t>曹阳，杨欣，李胜，纪涛涛，兰姗</w:t>
      </w:r>
    </w:p>
    <w:p>
      <w:pPr>
        <w:spacing w:line="540" w:lineRule="exact"/>
        <w:jc w:val="center"/>
        <w:rPr>
          <w:rFonts w:hint="eastAsia" w:ascii="宋体" w:hAnsi="宋体" w:eastAsia="宋体" w:cs="宋体"/>
          <w:sz w:val="24"/>
          <w:szCs w:val="24"/>
        </w:rPr>
      </w:pPr>
      <w:r>
        <w:rPr>
          <w:rFonts w:hint="eastAsia" w:ascii="宋体" w:hAnsi="宋体" w:eastAsia="宋体" w:cs="宋体"/>
          <w:sz w:val="24"/>
          <w:szCs w:val="24"/>
        </w:rPr>
        <w:t>十堰市人民医院放射影像中心</w:t>
      </w:r>
    </w:p>
    <w:p>
      <w:pPr>
        <w:spacing w:line="520" w:lineRule="exact"/>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摘要：</w:t>
      </w:r>
      <w:r>
        <w:rPr>
          <w:rFonts w:hint="eastAsia" w:ascii="宋体" w:hAnsi="宋体" w:eastAsia="宋体" w:cs="宋体"/>
          <w:sz w:val="24"/>
          <w:szCs w:val="24"/>
        </w:rPr>
        <w:t>目的：探究腮腺常见良性肿瘤与恶性肿瘤的CT影像特征与该特征在临床上的诊断意义。方法：整合我院2016年1月1日~2021年1月1日收录的40例腮腺肿瘤CT影像资料，所有患者均有病理资料证明。分析其病灶的数目、位置、形态、大小、边界、 囊变坏死、强化程度及病灶与邻近组织间的关系等，总结其影像学特征。结果：腮腺非恶性肿瘤大都发生于腮腺浅叶，呈规则形，边缘光整，密度均匀，有完整的包膜，不伴有侵袭性;恶性肿瘤多位于浅叶外，大部分为分叶或毛刺状，边沿不明晰，密度不均匀，部分病例无包膜，部分病例包膜欠完整，具有侵袭生长的特性。结论：腮腺良性肿瘤与恶性肿瘤的CT影像学存在较为明显的差异。CT扫描可以根据腮腺肿瘤影像学特征对其进行定位、定性诊断，为腮腺肿瘤的诊断与治疗提供影像学依据。</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b/>
          <w:bCs/>
          <w:sz w:val="24"/>
          <w:szCs w:val="24"/>
        </w:rPr>
        <w:t>关键词：</w:t>
      </w:r>
      <w:r>
        <w:rPr>
          <w:rFonts w:hint="eastAsia" w:ascii="宋体" w:hAnsi="宋体" w:eastAsia="宋体" w:cs="宋体"/>
          <w:sz w:val="24"/>
          <w:szCs w:val="24"/>
        </w:rPr>
        <w:t>腮腺肿瘤；体层摄影术；X线计算机</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b/>
          <w:bCs/>
          <w:sz w:val="24"/>
          <w:szCs w:val="24"/>
        </w:rPr>
        <w:t>Abstract:</w:t>
      </w:r>
      <w:r>
        <w:rPr>
          <w:rFonts w:hint="eastAsia" w:ascii="宋体" w:hAnsi="宋体" w:eastAsia="宋体" w:cs="宋体"/>
          <w:sz w:val="24"/>
          <w:szCs w:val="24"/>
        </w:rPr>
        <w:t>Objective: To explore the CT imaging features of common benign and malignant tumors of the parotid gland and their clinical diagnostic significance. Methods: Integrate the CT imaging data of 40 cases of parotid gland tumors collected in our hospital from January 1, 2016 to January 1, 2020, and all patients have pathological evidence. Analyze the number, location, shape, size, boundary, cystic necrosis, degree of enhancement, and the relationship between the lesion and adjacent tissues, and summarize its imaging characteristics. Results: Most of the non-malignant tumors of the parotid gland occurred in the superficial lobes of the parotid gland, with regular shapes, smooth edges, uniform density, complete capsules, and no invasiveness; most of the malignant tumors were located outside the superficial lobes, and most of them were lobed or lobed. Burr-like, unclear edges, uneven density, no capsule in some cases, incomplete capsule in some cases, and invasive growth characteristics. Conclusion: There are obvious differences in CT imaging between benign and malignant tumors of the parotid gland. CT scan can locate and qualitatively diagnose parotid gland tumors based on its imaging characteristics, and provide imaging evidence for the diagnosis and treatment of parotid gland tumors.</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b/>
          <w:bCs/>
          <w:sz w:val="24"/>
          <w:szCs w:val="24"/>
        </w:rPr>
        <w:t>Key Words:</w:t>
      </w:r>
      <w:r>
        <w:rPr>
          <w:rFonts w:hint="eastAsia" w:ascii="宋体" w:hAnsi="宋体" w:eastAsia="宋体" w:cs="宋体"/>
          <w:sz w:val="24"/>
          <w:szCs w:val="24"/>
        </w:rPr>
        <w:t>Parotid tumor; Tomography， X-ray computed</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20" w:lineRule="exact"/>
        <w:ind w:firstLine="456" w:firstLineChars="190"/>
        <w:textAlignment w:val="auto"/>
        <w:rPr>
          <w:rFonts w:hint="eastAsia" w:ascii="宋体" w:hAnsi="宋体" w:eastAsia="宋体" w:cs="宋体"/>
          <w:sz w:val="24"/>
          <w:szCs w:val="24"/>
        </w:rPr>
      </w:pPr>
      <w:r>
        <w:rPr>
          <w:rFonts w:hint="eastAsia" w:ascii="宋体" w:hAnsi="宋体" w:eastAsia="宋体" w:cs="宋体"/>
          <w:sz w:val="24"/>
          <w:szCs w:val="24"/>
        </w:rPr>
        <w:t>涎腺肿瘤在头颈部肿瘤中的百分比约为2%~6.5%，最常见于腮腺，有广泛的的组织学变化。腮腺肿瘤中约75%为非恶性</w:t>
      </w:r>
      <w:r>
        <w:rPr>
          <w:rFonts w:hint="eastAsia" w:ascii="宋体" w:hAnsi="宋体" w:eastAsia="宋体" w:cs="宋体"/>
          <w:sz w:val="24"/>
          <w:szCs w:val="24"/>
          <w:vertAlign w:val="superscript"/>
        </w:rPr>
        <w:fldChar w:fldCharType="begin"/>
      </w:r>
      <w:r>
        <w:rPr>
          <w:rFonts w:hint="eastAsia" w:ascii="宋体" w:hAnsi="宋体" w:eastAsia="宋体" w:cs="宋体"/>
          <w:sz w:val="24"/>
          <w:szCs w:val="24"/>
          <w:vertAlign w:val="superscript"/>
        </w:rPr>
        <w:instrText xml:space="preserve"> REF _Ref17723 \w \h  \* MERGEFORMAT </w:instrText>
      </w:r>
      <w:r>
        <w:rPr>
          <w:rFonts w:hint="eastAsia" w:ascii="宋体" w:hAnsi="宋体" w:eastAsia="宋体" w:cs="宋体"/>
          <w:sz w:val="24"/>
          <w:szCs w:val="24"/>
          <w:vertAlign w:val="superscript"/>
        </w:rPr>
        <w:fldChar w:fldCharType="separate"/>
      </w:r>
      <w:r>
        <w:rPr>
          <w:rFonts w:hint="eastAsia" w:ascii="宋体" w:hAnsi="宋体" w:eastAsia="宋体" w:cs="宋体"/>
          <w:sz w:val="24"/>
          <w:szCs w:val="24"/>
          <w:vertAlign w:val="superscript"/>
        </w:rPr>
        <w:t>[1]</w:t>
      </w:r>
      <w:r>
        <w:rPr>
          <w:rFonts w:hint="eastAsia" w:ascii="宋体" w:hAnsi="宋体" w:eastAsia="宋体" w:cs="宋体"/>
          <w:sz w:val="24"/>
          <w:szCs w:val="24"/>
          <w:vertAlign w:val="superscript"/>
        </w:rPr>
        <w:fldChar w:fldCharType="end"/>
      </w:r>
      <w:r>
        <w:rPr>
          <w:rFonts w:hint="eastAsia" w:ascii="宋体" w:hAnsi="宋体" w:eastAsia="宋体" w:cs="宋体"/>
          <w:sz w:val="24"/>
          <w:szCs w:val="24"/>
        </w:rPr>
        <w:t>。非恶性肿瘤在临床上最为常见是多形性腺瘤（混合瘤），约为70%，其次为腺淋巴瘤，约为5%~10%，而其他肿瘤如基底细胞腺瘤、肌上皮瘤、神经鞘瘤、淋巴瘤、脂肪瘤、血管瘤等不常见。腮腺恶性肿瘤相对较少，较常见的有粘液表皮样癌、腺癌、腺泡细胞癌、恶性混合瘤、乳头状囊腺癌和淋巴瘤等</w:t>
      </w:r>
      <w:r>
        <w:rPr>
          <w:rFonts w:hint="eastAsia" w:ascii="宋体" w:hAnsi="宋体" w:eastAsia="宋体" w:cs="宋体"/>
          <w:sz w:val="24"/>
          <w:szCs w:val="24"/>
          <w:vertAlign w:val="superscript"/>
        </w:rPr>
        <w:fldChar w:fldCharType="begin"/>
      </w:r>
      <w:r>
        <w:rPr>
          <w:rFonts w:hint="eastAsia" w:ascii="宋体" w:hAnsi="宋体" w:eastAsia="宋体" w:cs="宋体"/>
          <w:sz w:val="24"/>
          <w:szCs w:val="24"/>
          <w:vertAlign w:val="superscript"/>
        </w:rPr>
        <w:instrText xml:space="preserve"> REF _Ref17919 \w \h  \* MERGEFORMAT </w:instrText>
      </w:r>
      <w:r>
        <w:rPr>
          <w:rFonts w:hint="eastAsia" w:ascii="宋体" w:hAnsi="宋体" w:eastAsia="宋体" w:cs="宋体"/>
          <w:sz w:val="24"/>
          <w:szCs w:val="24"/>
          <w:vertAlign w:val="superscript"/>
        </w:rPr>
        <w:fldChar w:fldCharType="separate"/>
      </w:r>
      <w:r>
        <w:rPr>
          <w:rFonts w:hint="eastAsia" w:ascii="宋体" w:hAnsi="宋体" w:eastAsia="宋体" w:cs="宋体"/>
          <w:sz w:val="24"/>
          <w:szCs w:val="24"/>
          <w:vertAlign w:val="superscript"/>
        </w:rPr>
        <w:t>[2]</w:t>
      </w:r>
      <w:r>
        <w:rPr>
          <w:rFonts w:hint="eastAsia" w:ascii="宋体" w:hAnsi="宋体" w:eastAsia="宋体" w:cs="宋体"/>
          <w:sz w:val="24"/>
          <w:szCs w:val="24"/>
          <w:vertAlign w:val="superscript"/>
        </w:rPr>
        <w:fldChar w:fldCharType="end"/>
      </w:r>
      <w:r>
        <w:rPr>
          <w:rFonts w:hint="eastAsia" w:ascii="宋体" w:hAnsi="宋体" w:eastAsia="宋体" w:cs="宋体"/>
          <w:sz w:val="24"/>
          <w:szCs w:val="24"/>
        </w:rPr>
        <w:t>。据报道，恶性肿瘤的发病率正在逐年递增</w:t>
      </w:r>
      <w:r>
        <w:rPr>
          <w:rFonts w:hint="eastAsia" w:ascii="宋体" w:hAnsi="宋体" w:eastAsia="宋体" w:cs="宋体"/>
          <w:sz w:val="24"/>
          <w:szCs w:val="24"/>
          <w:vertAlign w:val="superscript"/>
        </w:rPr>
        <w:fldChar w:fldCharType="begin"/>
      </w:r>
      <w:r>
        <w:rPr>
          <w:rFonts w:hint="eastAsia" w:ascii="宋体" w:hAnsi="宋体" w:eastAsia="宋体" w:cs="宋体"/>
          <w:sz w:val="24"/>
          <w:szCs w:val="24"/>
          <w:vertAlign w:val="superscript"/>
        </w:rPr>
        <w:instrText xml:space="preserve"> REF _Ref23973 \w \h  \* MERGEFORMAT </w:instrText>
      </w:r>
      <w:r>
        <w:rPr>
          <w:rFonts w:hint="eastAsia" w:ascii="宋体" w:hAnsi="宋体" w:eastAsia="宋体" w:cs="宋体"/>
          <w:sz w:val="24"/>
          <w:szCs w:val="24"/>
          <w:vertAlign w:val="superscript"/>
        </w:rPr>
        <w:fldChar w:fldCharType="separate"/>
      </w:r>
      <w:r>
        <w:rPr>
          <w:rFonts w:hint="eastAsia" w:ascii="宋体" w:hAnsi="宋体" w:eastAsia="宋体" w:cs="宋体"/>
          <w:sz w:val="24"/>
          <w:szCs w:val="24"/>
          <w:vertAlign w:val="superscript"/>
        </w:rPr>
        <w:t>[3]</w:t>
      </w:r>
      <w:r>
        <w:rPr>
          <w:rFonts w:hint="eastAsia" w:ascii="宋体" w:hAnsi="宋体" w:eastAsia="宋体" w:cs="宋体"/>
          <w:sz w:val="24"/>
          <w:szCs w:val="24"/>
          <w:vertAlign w:val="superscript"/>
        </w:rPr>
        <w:fldChar w:fldCharType="end"/>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20" w:lineRule="exact"/>
        <w:ind w:firstLine="456" w:firstLineChars="190"/>
        <w:textAlignment w:val="auto"/>
        <w:rPr>
          <w:rFonts w:hint="eastAsia" w:ascii="宋体" w:hAnsi="宋体" w:eastAsia="宋体" w:cs="宋体"/>
          <w:sz w:val="24"/>
          <w:szCs w:val="24"/>
        </w:rPr>
      </w:pPr>
      <w:r>
        <w:rPr>
          <w:rFonts w:hint="eastAsia" w:ascii="宋体" w:hAnsi="宋体" w:eastAsia="宋体" w:cs="宋体"/>
          <w:sz w:val="24"/>
          <w:szCs w:val="24"/>
        </w:rPr>
        <w:t>“细针吸取活检（FNAC）”是许多地方初步评估腮腺肿块的标准诊断方法。 现在，腮腺肿瘤术前评估的细针吸取活检仍然存在争议，一些研究表明，FNSC是一种微创和安全的手术。FNAC预测涎腺肿瘤是良性还是恶性的总体标准性在81%到98%。然而，FNAC对低度恶性肿瘤的敏感性仍然不高，结果的解释需要有经验的病理专家。FNAC的另一个局限性是它它不能产生足够的标本。此外，据报道，FNAC可能导致血肿和感染。由于肿瘤溢出和面神经损伤的发生率高，不鼓励开放活检</w:t>
      </w:r>
      <w:r>
        <w:rPr>
          <w:rFonts w:hint="eastAsia" w:ascii="宋体" w:hAnsi="宋体" w:eastAsia="宋体" w:cs="宋体"/>
          <w:sz w:val="24"/>
          <w:szCs w:val="24"/>
          <w:vertAlign w:val="superscript"/>
        </w:rPr>
        <w:fldChar w:fldCharType="begin"/>
      </w:r>
      <w:r>
        <w:rPr>
          <w:rFonts w:hint="eastAsia" w:ascii="宋体" w:hAnsi="宋体" w:eastAsia="宋体" w:cs="宋体"/>
          <w:sz w:val="24"/>
          <w:szCs w:val="24"/>
          <w:vertAlign w:val="superscript"/>
        </w:rPr>
        <w:instrText xml:space="preserve"> REF _Ref22552 \w \h  \* MERGEFORMAT </w:instrText>
      </w:r>
      <w:r>
        <w:rPr>
          <w:rFonts w:hint="eastAsia" w:ascii="宋体" w:hAnsi="宋体" w:eastAsia="宋体" w:cs="宋体"/>
          <w:sz w:val="24"/>
          <w:szCs w:val="24"/>
          <w:vertAlign w:val="superscript"/>
        </w:rPr>
        <w:fldChar w:fldCharType="separate"/>
      </w:r>
      <w:r>
        <w:rPr>
          <w:rFonts w:hint="eastAsia" w:ascii="宋体" w:hAnsi="宋体" w:eastAsia="宋体" w:cs="宋体"/>
          <w:sz w:val="24"/>
          <w:szCs w:val="24"/>
          <w:vertAlign w:val="superscript"/>
        </w:rPr>
        <w:t>[4]</w:t>
      </w:r>
      <w:r>
        <w:rPr>
          <w:rFonts w:hint="eastAsia" w:ascii="宋体" w:hAnsi="宋体" w:eastAsia="宋体" w:cs="宋体"/>
          <w:sz w:val="24"/>
          <w:szCs w:val="24"/>
          <w:vertAlign w:val="superscript"/>
        </w:rPr>
        <w:fldChar w:fldCharType="end"/>
      </w:r>
      <w:r>
        <w:rPr>
          <w:rFonts w:hint="eastAsia" w:ascii="宋体" w:hAnsi="宋体" w:eastAsia="宋体" w:cs="宋体"/>
          <w:sz w:val="24"/>
          <w:szCs w:val="24"/>
        </w:rPr>
        <w:t>。CT具有优秀的组织分辨率可以帮助辨别不同组织的细微差别，现今CT在肿瘤诊断中运用宽泛。 由于腮腺组织中有大量脂肪和唾液，因此和邻近的骨骼、肌肉及其他组织形成良好对照。在低密度腺体的对比下，高密度的腮腺肿瘤清晰可见</w:t>
      </w:r>
      <w:r>
        <w:rPr>
          <w:rFonts w:hint="eastAsia" w:ascii="宋体" w:hAnsi="宋体" w:eastAsia="宋体" w:cs="宋体"/>
          <w:sz w:val="24"/>
          <w:szCs w:val="24"/>
          <w:vertAlign w:val="superscript"/>
        </w:rPr>
        <w:fldChar w:fldCharType="begin"/>
      </w:r>
      <w:r>
        <w:rPr>
          <w:rFonts w:hint="eastAsia" w:ascii="宋体" w:hAnsi="宋体" w:eastAsia="宋体" w:cs="宋体"/>
          <w:sz w:val="24"/>
          <w:szCs w:val="24"/>
          <w:vertAlign w:val="superscript"/>
        </w:rPr>
        <w:instrText xml:space="preserve"> REF _Ref24244 \w \h  \* MERGEFORMAT </w:instrText>
      </w:r>
      <w:r>
        <w:rPr>
          <w:rFonts w:hint="eastAsia" w:ascii="宋体" w:hAnsi="宋体" w:eastAsia="宋体" w:cs="宋体"/>
          <w:sz w:val="24"/>
          <w:szCs w:val="24"/>
          <w:vertAlign w:val="superscript"/>
        </w:rPr>
        <w:fldChar w:fldCharType="separate"/>
      </w:r>
      <w:r>
        <w:rPr>
          <w:rFonts w:hint="eastAsia" w:ascii="宋体" w:hAnsi="宋体" w:eastAsia="宋体" w:cs="宋体"/>
          <w:sz w:val="24"/>
          <w:szCs w:val="24"/>
          <w:vertAlign w:val="superscript"/>
        </w:rPr>
        <w:t>[5]</w:t>
      </w:r>
      <w:r>
        <w:rPr>
          <w:rFonts w:hint="eastAsia" w:ascii="宋体" w:hAnsi="宋体" w:eastAsia="宋体" w:cs="宋体"/>
          <w:sz w:val="24"/>
          <w:szCs w:val="24"/>
          <w:vertAlign w:val="superscript"/>
        </w:rPr>
        <w:fldChar w:fldCharType="end"/>
      </w:r>
      <w:r>
        <w:rPr>
          <w:rFonts w:hint="eastAsia" w:ascii="宋体" w:hAnsi="宋体" w:eastAsia="宋体" w:cs="宋体"/>
          <w:sz w:val="24"/>
          <w:szCs w:val="24"/>
        </w:rPr>
        <w:t>。 通过经病理证明的40例腮腺肿瘤的多层螺旋CT影像图片，探究与讨论腮腺肿瘤特征性CT影像学表现，便于临床研究。</w:t>
      </w:r>
    </w:p>
    <w:p>
      <w:pPr>
        <w:keepNext w:val="0"/>
        <w:keepLines w:val="0"/>
        <w:pageBreakBefore w:val="0"/>
        <w:widowControl w:val="0"/>
        <w:kinsoku/>
        <w:wordWrap/>
        <w:overflowPunct/>
        <w:topLinePunct w:val="0"/>
        <w:autoSpaceDE/>
        <w:autoSpaceDN/>
        <w:bidi w:val="0"/>
        <w:adjustRightInd/>
        <w:snapToGrid/>
        <w:spacing w:line="320" w:lineRule="exact"/>
        <w:ind w:firstLine="456" w:firstLineChars="19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1资料与方法</w:t>
      </w:r>
    </w:p>
    <w:p>
      <w:pPr>
        <w:keepNext w:val="0"/>
        <w:keepLines w:val="0"/>
        <w:pageBreakBefore w:val="0"/>
        <w:widowControl w:val="0"/>
        <w:kinsoku/>
        <w:wordWrap/>
        <w:overflowPunct/>
        <w:topLinePunct w:val="0"/>
        <w:autoSpaceDE/>
        <w:autoSpaceDN/>
        <w:bidi w:val="0"/>
        <w:adjustRightInd/>
        <w:snapToGrid/>
        <w:spacing w:line="320" w:lineRule="exact"/>
        <w:ind w:left="1" w:firstLine="456" w:firstLineChars="19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1.1一般资料</w:t>
      </w:r>
    </w:p>
    <w:p>
      <w:pPr>
        <w:keepNext w:val="0"/>
        <w:keepLines w:val="0"/>
        <w:pageBreakBefore w:val="0"/>
        <w:widowControl w:val="0"/>
        <w:kinsoku/>
        <w:wordWrap/>
        <w:overflowPunct/>
        <w:topLinePunct w:val="0"/>
        <w:autoSpaceDE/>
        <w:autoSpaceDN/>
        <w:bidi w:val="0"/>
        <w:adjustRightInd/>
        <w:snapToGrid/>
        <w:spacing w:line="320" w:lineRule="exact"/>
        <w:ind w:left="1" w:firstLine="456" w:firstLineChars="190"/>
        <w:textAlignment w:val="auto"/>
        <w:rPr>
          <w:rFonts w:hint="eastAsia" w:ascii="宋体" w:hAnsi="宋体" w:eastAsia="宋体" w:cs="宋体"/>
          <w:sz w:val="24"/>
          <w:szCs w:val="24"/>
        </w:rPr>
      </w:pPr>
      <w:r>
        <w:rPr>
          <w:rFonts w:hint="eastAsia" w:ascii="宋体" w:hAnsi="宋体" w:eastAsia="宋体" w:cs="宋体"/>
          <w:sz w:val="24"/>
          <w:szCs w:val="24"/>
        </w:rPr>
        <w:t>收集2016年1月1日~2021年1月1日在我院接受多层螺旋CT扫描的腮腺肿瘤患者40例，男性患者23例，女性患者17例；约35~89岁。主要体征为耳垂前下方包块，伴或不伴有疼痛，进行性增大，持续时间半个月~8年不等。</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1.2检查方法</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40例患者进行颌面部的平扫及增强扫描。扫描基线为听眶线。扫描范围从面弓至整个下颌；牙齿从上牙床上缘1cm至下牙床下缘1cm。采用螺旋扫描方式，管电压120kv，管电流250~300 mA。扫面层厚3~5mm，扫描间隔为3~5mm。增强扫描:对比剂采用300~370 mgI/mL的非离子型碘对比剂，对比剂量1-1.5 mL/kg，采用高压注射器团注给药，注射流率2.0~3.0 mL/s。普通增强扫描在对比剂注入后延迟35~45s开始扫描，血管性病变可采用动静脉双期扫描，动脉期25s，静脉期70s。</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1.3图像分析</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分析内容：病灶的数目、位置、形态、大小、边界、 囊变坏死、强化程度及病灶与邻近组织间的关系等。强化CT值&lt;15HU为无强化；强化CT值达15~30HU为轻度强化；强化CT值达31~50HU为中度强化；强化CT值&gt;50HU为明显强化。</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1.4判定标准</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部位判定:腮腺分叶以面神经总干及其分支经过的平面人为的划分腮腺深、浅叶，而我们影像也很难分辨面神经，所以以以下两种划线划分深浅叶：以下颌后静脉最背侧和同侧椎体最背侧的连线估计面神经的位置而进行深浅叶的划分（U线法）；或以下颌支内侧缘至胸锁乳突肌内侧缘连线进行划分。</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形态判定:规则形或不规则形。</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边界判定:清晰、部分清晰或不清晰。</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与邻近组织间关系判定:邻近肌群、腮腺床、皮下间隙、骨质等易被腮腺肿瘤侵犯。若病灶侵犯周围软组织及脂肪间隙、或伴颅底骨质破坏和淋巴结转移，则认为受到了侵犯。</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2结果</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2.1病理结果</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通过病理证明的40例患者，35例良性肿瘤中有18 例多形性腺瘤、11 例 腺淋巴瘤 、3例基底细胞腺瘤、1例神经鞘瘤、2例血管瘤；5例恶性肿瘤中有3例淋巴瘤；2例粘液表皮样癌。</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2.2 CT表现</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18例多形性腺瘤平扫大多密度均匀，边沿尚清，边缘光整的软组织密度结节影，病例中2例可见囊变，1例可见钙化，增强后大多可见均匀或环形强化（图1）。11例腺淋巴瘤大都表现为密度较均匀，边界较清楚的圆形或类圆形肿块影，其中 有4 例伴囊变，增强后大都表现为均匀强化（图2）。3例基底细胞腺瘤平扫密度较均匀，边沿明晰，增强扫描明显强化（图3），其中1例外缘见点状钙化灶、内见稍低密度影。1例神经鞘瘤左侧腮腺体积稍增大，内有囊实性肿块影，增强实性成分呈渐进性轻-中度强化，囊性成分增强强化不明显，边界清楚，壁较薄（图4），强化不显著。2例血管瘤为结节状软组织密度影、密度尚均匀、边沿明晰，动脉期边缘见小片状明显强化影，静脉期明显强化影范围增大（图5）。3例淋巴瘤可见明显强化软组织影，延迟仍可见较明显强化，边沿尚明晰、密度不均，其内可见多发囊变无强化影（图6）。 2例粘液表皮样癌边沿尚明晰，呈分叶状，内见软组织结节影，增强均匀明显强化，1例边缘见小片状低密度影，增强强化不明显（图7）。</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w:t>
      </w:r>
    </w:p>
    <w:tbl>
      <w:tblPr>
        <w:tblStyle w:val="10"/>
        <w:tblW w:w="0" w:type="auto"/>
        <w:tblInd w:w="0" w:type="dxa"/>
        <w:tblLayout w:type="fixed"/>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shd w:val="clear" w:color="auto" w:fill="FFFFFF"/>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114300" distR="114300">
                  <wp:extent cx="1662430" cy="1875790"/>
                  <wp:effectExtent l="0" t="0" r="13970" b="10160"/>
                  <wp:docPr id="33" name="图片 13" descr="C:\Users\hp\Desktop\刘福兰22767，多形性腺瘤\平扫+增强\Image2.jpg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C:\Users\hp\Desktop\刘福兰22767，多形性腺瘤\平扫+增强\Image2.jpgImage2"/>
                          <pic:cNvPicPr>
                            <a:picLocks noChangeAspect="1"/>
                          </pic:cNvPicPr>
                        </pic:nvPicPr>
                        <pic:blipFill>
                          <a:blip r:embed="rId10"/>
                          <a:stretch>
                            <a:fillRect/>
                          </a:stretch>
                        </pic:blipFill>
                        <pic:spPr>
                          <a:xfrm>
                            <a:off x="0" y="0"/>
                            <a:ext cx="1662430" cy="1875790"/>
                          </a:xfrm>
                          <a:prstGeom prst="rect">
                            <a:avLst/>
                          </a:prstGeom>
                          <a:noFill/>
                          <a:ln>
                            <a:noFill/>
                          </a:ln>
                        </pic:spPr>
                      </pic:pic>
                    </a:graphicData>
                  </a:graphic>
                </wp:inline>
              </w:drawing>
            </w:r>
          </w:p>
        </w:tc>
        <w:tc>
          <w:tcPr>
            <w:tcW w:w="2841" w:type="dxa"/>
            <w:shd w:val="clear" w:color="auto" w:fill="FFFFFF"/>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114300" distR="114300">
                  <wp:extent cx="1663065" cy="1875790"/>
                  <wp:effectExtent l="0" t="0" r="13335" b="10160"/>
                  <wp:docPr id="32" name="图片 14" descr="C:\Users\hp\Desktop\刘福兰22767，多形性腺瘤\平扫+增强\Image1.jpg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C:\Users\hp\Desktop\刘福兰22767，多形性腺瘤\平扫+增强\Image1.jpgImage1"/>
                          <pic:cNvPicPr>
                            <a:picLocks noChangeAspect="1"/>
                          </pic:cNvPicPr>
                        </pic:nvPicPr>
                        <pic:blipFill>
                          <a:blip r:embed="rId11"/>
                          <a:stretch>
                            <a:fillRect/>
                          </a:stretch>
                        </pic:blipFill>
                        <pic:spPr>
                          <a:xfrm>
                            <a:off x="0" y="0"/>
                            <a:ext cx="1663065" cy="1875790"/>
                          </a:xfrm>
                          <a:prstGeom prst="rect">
                            <a:avLst/>
                          </a:prstGeom>
                          <a:noFill/>
                          <a:ln>
                            <a:noFill/>
                          </a:ln>
                        </pic:spPr>
                      </pic:pic>
                    </a:graphicData>
                  </a:graphic>
                </wp:inline>
              </w:drawing>
            </w:r>
          </w:p>
        </w:tc>
        <w:tc>
          <w:tcPr>
            <w:tcW w:w="2841" w:type="dxa"/>
            <w:shd w:val="clear" w:color="auto" w:fill="FFFFFF"/>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114300" distR="114300">
                  <wp:extent cx="1659890" cy="1242695"/>
                  <wp:effectExtent l="0" t="0" r="16510" b="14605"/>
                  <wp:docPr id="30" name="图片 15" descr="C:\Users\hp\Desktop\刘福兰22767，多形性腺瘤\平扫+增强\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C:\Users\hp\Desktop\刘福兰22767，多形性腺瘤\平扫+增强\图片3.png图片3"/>
                          <pic:cNvPicPr>
                            <a:picLocks noChangeAspect="1"/>
                          </pic:cNvPicPr>
                        </pic:nvPicPr>
                        <pic:blipFill>
                          <a:blip r:embed="rId12"/>
                          <a:stretch>
                            <a:fillRect/>
                          </a:stretch>
                        </pic:blipFill>
                        <pic:spPr>
                          <a:xfrm>
                            <a:off x="0" y="0"/>
                            <a:ext cx="1659890" cy="1242695"/>
                          </a:xfrm>
                          <a:prstGeom prst="rect">
                            <a:avLst/>
                          </a:prstGeom>
                          <a:noFill/>
                          <a:ln>
                            <a:noFill/>
                          </a:ln>
                        </pic:spPr>
                      </pic:pic>
                    </a:graphicData>
                  </a:graphic>
                </wp:inline>
              </w:drawing>
            </w:r>
          </w:p>
        </w:tc>
      </w:tr>
    </w:tbl>
    <w:p>
      <w:pPr>
        <w:jc w:val="center"/>
        <w:rPr>
          <w:rFonts w:hint="eastAsia" w:ascii="宋体" w:hAnsi="宋体" w:eastAsia="宋体" w:cs="宋体"/>
          <w:sz w:val="24"/>
          <w:szCs w:val="24"/>
        </w:rPr>
      </w:pPr>
      <w:r>
        <w:rPr>
          <w:rFonts w:hint="eastAsia" w:ascii="宋体" w:hAnsi="宋体" w:eastAsia="宋体" w:cs="宋体"/>
          <w:sz w:val="24"/>
          <w:szCs w:val="24"/>
        </w:rPr>
        <w:t>图1 多形性腺瘤</w:t>
      </w:r>
    </w:p>
    <w:p>
      <w:pPr>
        <w:jc w:val="center"/>
        <w:rPr>
          <w:rFonts w:hint="eastAsia" w:ascii="宋体" w:hAnsi="宋体" w:eastAsia="宋体" w:cs="宋体"/>
          <w:sz w:val="24"/>
          <w:szCs w:val="24"/>
        </w:rPr>
      </w:pPr>
      <w:r>
        <w:rPr>
          <w:rFonts w:hint="eastAsia" w:ascii="宋体" w:hAnsi="宋体" w:eastAsia="宋体" w:cs="宋体"/>
          <w:sz w:val="24"/>
          <w:szCs w:val="24"/>
        </w:rPr>
        <w:t>注：a.增强（动脉期）；b增强（静脉期）；c.病理图片</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bottom w:val="nil"/>
              <w:right w:val="nil"/>
            </w:tcBorders>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63065" cy="1876425"/>
                  <wp:effectExtent l="0" t="0" r="13335" b="9525"/>
                  <wp:docPr id="23" name="图片 1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Image3"/>
                          <pic:cNvPicPr>
                            <a:picLocks noChangeAspect="1"/>
                          </pic:cNvPicPr>
                        </pic:nvPicPr>
                        <pic:blipFill>
                          <a:blip r:embed="rId13"/>
                          <a:stretch>
                            <a:fillRect/>
                          </a:stretch>
                        </pic:blipFill>
                        <pic:spPr>
                          <a:xfrm>
                            <a:off x="0" y="0"/>
                            <a:ext cx="1663065" cy="1876425"/>
                          </a:xfrm>
                          <a:prstGeom prst="rect">
                            <a:avLst/>
                          </a:prstGeom>
                          <a:noFill/>
                          <a:ln>
                            <a:noFill/>
                          </a:ln>
                        </pic:spPr>
                      </pic:pic>
                    </a:graphicData>
                  </a:graphic>
                </wp:inline>
              </w:drawing>
            </w:r>
          </w:p>
        </w:tc>
        <w:tc>
          <w:tcPr>
            <w:tcW w:w="2841" w:type="dxa"/>
            <w:tcBorders>
              <w:top w:val="nil"/>
              <w:left w:val="nil"/>
              <w:bottom w:val="nil"/>
              <w:right w:val="nil"/>
            </w:tcBorders>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63065" cy="1876425"/>
                  <wp:effectExtent l="0" t="0" r="13335" b="9525"/>
                  <wp:docPr id="24" name="图片 17"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age4"/>
                          <pic:cNvPicPr>
                            <a:picLocks noChangeAspect="1"/>
                          </pic:cNvPicPr>
                        </pic:nvPicPr>
                        <pic:blipFill>
                          <a:blip r:embed="rId14"/>
                          <a:stretch>
                            <a:fillRect/>
                          </a:stretch>
                        </pic:blipFill>
                        <pic:spPr>
                          <a:xfrm>
                            <a:off x="0" y="0"/>
                            <a:ext cx="1663065" cy="1876425"/>
                          </a:xfrm>
                          <a:prstGeom prst="rect">
                            <a:avLst/>
                          </a:prstGeom>
                          <a:noFill/>
                          <a:ln>
                            <a:noFill/>
                          </a:ln>
                        </pic:spPr>
                      </pic:pic>
                    </a:graphicData>
                  </a:graphic>
                </wp:inline>
              </w:drawing>
            </w:r>
          </w:p>
        </w:tc>
        <w:tc>
          <w:tcPr>
            <w:tcW w:w="2841" w:type="dxa"/>
            <w:tcBorders>
              <w:top w:val="nil"/>
              <w:left w:val="nil"/>
              <w:bottom w:val="nil"/>
              <w:right w:val="nil"/>
            </w:tcBorders>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59890" cy="1243330"/>
                  <wp:effectExtent l="0" t="0" r="16510" b="13970"/>
                  <wp:docPr id="31" name="图片 1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图片6"/>
                          <pic:cNvPicPr>
                            <a:picLocks noChangeAspect="1"/>
                          </pic:cNvPicPr>
                        </pic:nvPicPr>
                        <pic:blipFill>
                          <a:blip r:embed="rId15"/>
                          <a:stretch>
                            <a:fillRect/>
                          </a:stretch>
                        </pic:blipFill>
                        <pic:spPr>
                          <a:xfrm>
                            <a:off x="0" y="0"/>
                            <a:ext cx="1659890" cy="1243330"/>
                          </a:xfrm>
                          <a:prstGeom prst="rect">
                            <a:avLst/>
                          </a:prstGeom>
                          <a:noFill/>
                          <a:ln>
                            <a:noFill/>
                          </a:ln>
                        </pic:spPr>
                      </pic:pic>
                    </a:graphicData>
                  </a:graphic>
                </wp:inline>
              </w:drawing>
            </w:r>
          </w:p>
        </w:tc>
      </w:tr>
    </w:tbl>
    <w:p>
      <w:pPr>
        <w:jc w:val="center"/>
        <w:rPr>
          <w:rFonts w:hint="eastAsia" w:ascii="宋体" w:hAnsi="宋体" w:eastAsia="宋体" w:cs="宋体"/>
          <w:sz w:val="24"/>
          <w:szCs w:val="24"/>
        </w:rPr>
      </w:pPr>
      <w:r>
        <w:rPr>
          <w:rFonts w:hint="eastAsia" w:ascii="宋体" w:hAnsi="宋体" w:eastAsia="宋体" w:cs="宋体"/>
          <w:sz w:val="24"/>
          <w:szCs w:val="24"/>
        </w:rPr>
        <w:t>图2 腺淋巴瘤</w:t>
      </w:r>
    </w:p>
    <w:p>
      <w:pPr>
        <w:jc w:val="center"/>
        <w:rPr>
          <w:rFonts w:hint="eastAsia" w:ascii="宋体" w:hAnsi="宋体" w:eastAsia="宋体" w:cs="宋体"/>
          <w:sz w:val="24"/>
          <w:szCs w:val="24"/>
        </w:rPr>
      </w:pPr>
      <w:r>
        <w:rPr>
          <w:rFonts w:hint="eastAsia" w:ascii="宋体" w:hAnsi="宋体" w:eastAsia="宋体" w:cs="宋体"/>
          <w:sz w:val="24"/>
          <w:szCs w:val="24"/>
        </w:rPr>
        <w:t>注：a.增强（动脉期）；b增强（静脉期）；c.病理图片</w:t>
      </w:r>
    </w:p>
    <w:tbl>
      <w:tblPr>
        <w:tblStyle w:val="10"/>
        <w:tblW w:w="0" w:type="auto"/>
        <w:tblInd w:w="0" w:type="dxa"/>
        <w:tblLayout w:type="fixed"/>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63065" cy="1876425"/>
                  <wp:effectExtent l="0" t="0" r="13335" b="9525"/>
                  <wp:docPr id="25" name="图片 1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Image3"/>
                          <pic:cNvPicPr>
                            <a:picLocks noChangeAspect="1"/>
                          </pic:cNvPicPr>
                        </pic:nvPicPr>
                        <pic:blipFill>
                          <a:blip r:embed="rId16"/>
                          <a:stretch>
                            <a:fillRect/>
                          </a:stretch>
                        </pic:blipFill>
                        <pic:spPr>
                          <a:xfrm>
                            <a:off x="0" y="0"/>
                            <a:ext cx="1663065" cy="1876425"/>
                          </a:xfrm>
                          <a:prstGeom prst="rect">
                            <a:avLst/>
                          </a:prstGeom>
                          <a:noFill/>
                          <a:ln>
                            <a:noFill/>
                          </a:ln>
                        </pic:spPr>
                      </pic:pic>
                    </a:graphicData>
                  </a:graphic>
                </wp:inline>
              </w:drawing>
            </w:r>
          </w:p>
        </w:tc>
        <w:tc>
          <w:tcPr>
            <w:tcW w:w="2841"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63065" cy="1876425"/>
                  <wp:effectExtent l="0" t="0" r="13335" b="9525"/>
                  <wp:docPr id="28" name="图片 20"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Image4"/>
                          <pic:cNvPicPr>
                            <a:picLocks noChangeAspect="1"/>
                          </pic:cNvPicPr>
                        </pic:nvPicPr>
                        <pic:blipFill>
                          <a:blip r:embed="rId17"/>
                          <a:stretch>
                            <a:fillRect/>
                          </a:stretch>
                        </pic:blipFill>
                        <pic:spPr>
                          <a:xfrm>
                            <a:off x="0" y="0"/>
                            <a:ext cx="1663065" cy="1876425"/>
                          </a:xfrm>
                          <a:prstGeom prst="rect">
                            <a:avLst/>
                          </a:prstGeom>
                          <a:noFill/>
                          <a:ln>
                            <a:noFill/>
                          </a:ln>
                        </pic:spPr>
                      </pic:pic>
                    </a:graphicData>
                  </a:graphic>
                </wp:inline>
              </w:drawing>
            </w:r>
          </w:p>
        </w:tc>
        <w:tc>
          <w:tcPr>
            <w:tcW w:w="2841"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59890" cy="1243330"/>
                  <wp:effectExtent l="0" t="0" r="16510" b="13970"/>
                  <wp:docPr id="29"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图片1"/>
                          <pic:cNvPicPr>
                            <a:picLocks noChangeAspect="1"/>
                          </pic:cNvPicPr>
                        </pic:nvPicPr>
                        <pic:blipFill>
                          <a:blip r:embed="rId18"/>
                          <a:stretch>
                            <a:fillRect/>
                          </a:stretch>
                        </pic:blipFill>
                        <pic:spPr>
                          <a:xfrm>
                            <a:off x="0" y="0"/>
                            <a:ext cx="1659890" cy="1243330"/>
                          </a:xfrm>
                          <a:prstGeom prst="rect">
                            <a:avLst/>
                          </a:prstGeom>
                          <a:noFill/>
                          <a:ln>
                            <a:noFill/>
                          </a:ln>
                        </pic:spPr>
                      </pic:pic>
                    </a:graphicData>
                  </a:graphic>
                </wp:inline>
              </w:drawing>
            </w:r>
          </w:p>
        </w:tc>
      </w:tr>
    </w:tbl>
    <w:p>
      <w:pPr>
        <w:jc w:val="center"/>
        <w:rPr>
          <w:rFonts w:hint="eastAsia" w:ascii="宋体" w:hAnsi="宋体" w:eastAsia="宋体" w:cs="宋体"/>
          <w:sz w:val="24"/>
          <w:szCs w:val="24"/>
        </w:rPr>
      </w:pPr>
      <w:r>
        <w:rPr>
          <w:rFonts w:hint="eastAsia" w:ascii="宋体" w:hAnsi="宋体" w:eastAsia="宋体" w:cs="宋体"/>
          <w:sz w:val="24"/>
          <w:szCs w:val="24"/>
        </w:rPr>
        <w:t>图3 基底细胞瘤</w:t>
      </w:r>
    </w:p>
    <w:p>
      <w:pPr>
        <w:jc w:val="center"/>
        <w:rPr>
          <w:rFonts w:hint="eastAsia" w:ascii="宋体" w:hAnsi="宋体" w:eastAsia="宋体" w:cs="宋体"/>
          <w:sz w:val="24"/>
          <w:szCs w:val="24"/>
        </w:rPr>
      </w:pPr>
      <w:r>
        <w:rPr>
          <w:rFonts w:hint="eastAsia" w:ascii="宋体" w:hAnsi="宋体" w:eastAsia="宋体" w:cs="宋体"/>
          <w:sz w:val="24"/>
          <w:szCs w:val="24"/>
        </w:rPr>
        <w:t>注：a.增强（动脉期）；b增强（静脉期）；c.病理图片</w:t>
      </w:r>
    </w:p>
    <w:tbl>
      <w:tblPr>
        <w:tblStyle w:val="10"/>
        <w:tblW w:w="0" w:type="auto"/>
        <w:tblInd w:w="0" w:type="dxa"/>
        <w:tblLayout w:type="fixed"/>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63065" cy="1876425"/>
                  <wp:effectExtent l="0" t="0" r="13335" b="9525"/>
                  <wp:docPr id="27" name="图片 2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Image2"/>
                          <pic:cNvPicPr>
                            <a:picLocks noChangeAspect="1"/>
                          </pic:cNvPicPr>
                        </pic:nvPicPr>
                        <pic:blipFill>
                          <a:blip r:embed="rId19"/>
                          <a:stretch>
                            <a:fillRect/>
                          </a:stretch>
                        </pic:blipFill>
                        <pic:spPr>
                          <a:xfrm>
                            <a:off x="0" y="0"/>
                            <a:ext cx="1663065" cy="1876425"/>
                          </a:xfrm>
                          <a:prstGeom prst="rect">
                            <a:avLst/>
                          </a:prstGeom>
                          <a:noFill/>
                          <a:ln>
                            <a:noFill/>
                          </a:ln>
                        </pic:spPr>
                      </pic:pic>
                    </a:graphicData>
                  </a:graphic>
                </wp:inline>
              </w:drawing>
            </w:r>
          </w:p>
        </w:tc>
        <w:tc>
          <w:tcPr>
            <w:tcW w:w="2841"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63065" cy="1876425"/>
                  <wp:effectExtent l="0" t="0" r="13335" b="9525"/>
                  <wp:docPr id="34" name="图片 2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Image3"/>
                          <pic:cNvPicPr>
                            <a:picLocks noChangeAspect="1"/>
                          </pic:cNvPicPr>
                        </pic:nvPicPr>
                        <pic:blipFill>
                          <a:blip r:embed="rId20"/>
                          <a:stretch>
                            <a:fillRect/>
                          </a:stretch>
                        </pic:blipFill>
                        <pic:spPr>
                          <a:xfrm>
                            <a:off x="0" y="0"/>
                            <a:ext cx="1663065" cy="1876425"/>
                          </a:xfrm>
                          <a:prstGeom prst="rect">
                            <a:avLst/>
                          </a:prstGeom>
                          <a:noFill/>
                          <a:ln>
                            <a:noFill/>
                          </a:ln>
                        </pic:spPr>
                      </pic:pic>
                    </a:graphicData>
                  </a:graphic>
                </wp:inline>
              </w:drawing>
            </w:r>
          </w:p>
        </w:tc>
        <w:tc>
          <w:tcPr>
            <w:tcW w:w="2841"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65605" cy="1248410"/>
                  <wp:effectExtent l="0" t="0" r="10795" b="8890"/>
                  <wp:docPr id="26" name="图片 24"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图片8"/>
                          <pic:cNvPicPr>
                            <a:picLocks noChangeAspect="1"/>
                          </pic:cNvPicPr>
                        </pic:nvPicPr>
                        <pic:blipFill>
                          <a:blip r:embed="rId21"/>
                          <a:stretch>
                            <a:fillRect/>
                          </a:stretch>
                        </pic:blipFill>
                        <pic:spPr>
                          <a:xfrm>
                            <a:off x="0" y="0"/>
                            <a:ext cx="1665605" cy="1248410"/>
                          </a:xfrm>
                          <a:prstGeom prst="rect">
                            <a:avLst/>
                          </a:prstGeom>
                          <a:noFill/>
                          <a:ln>
                            <a:noFill/>
                          </a:ln>
                        </pic:spPr>
                      </pic:pic>
                    </a:graphicData>
                  </a:graphic>
                </wp:inline>
              </w:drawing>
            </w:r>
          </w:p>
        </w:tc>
      </w:tr>
    </w:tbl>
    <w:p>
      <w:pPr>
        <w:jc w:val="center"/>
        <w:rPr>
          <w:rFonts w:hint="eastAsia" w:ascii="宋体" w:hAnsi="宋体" w:eastAsia="宋体" w:cs="宋体"/>
          <w:sz w:val="24"/>
          <w:szCs w:val="24"/>
        </w:rPr>
      </w:pPr>
      <w:r>
        <w:rPr>
          <w:rFonts w:hint="eastAsia" w:ascii="宋体" w:hAnsi="宋体" w:eastAsia="宋体" w:cs="宋体"/>
          <w:sz w:val="24"/>
          <w:szCs w:val="24"/>
        </w:rPr>
        <w:t>图4 神经鞘瘤</w:t>
      </w:r>
    </w:p>
    <w:p>
      <w:pPr>
        <w:jc w:val="center"/>
        <w:rPr>
          <w:rFonts w:hint="eastAsia" w:ascii="宋体" w:hAnsi="宋体" w:eastAsia="宋体" w:cs="宋体"/>
          <w:sz w:val="24"/>
          <w:szCs w:val="24"/>
        </w:rPr>
      </w:pPr>
      <w:r>
        <w:rPr>
          <w:rFonts w:hint="eastAsia" w:ascii="宋体" w:hAnsi="宋体" w:eastAsia="宋体" w:cs="宋体"/>
          <w:sz w:val="24"/>
          <w:szCs w:val="24"/>
        </w:rPr>
        <w:t>注：a.增强（动脉期）；b增强（静脉期）；c.病理图片</w:t>
      </w:r>
    </w:p>
    <w:tbl>
      <w:tblPr>
        <w:tblStyle w:val="10"/>
        <w:tblW w:w="0" w:type="auto"/>
        <w:tblInd w:w="0" w:type="dxa"/>
        <w:tblLayout w:type="fixed"/>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63065" cy="1876425"/>
                  <wp:effectExtent l="0" t="0" r="13335" b="9525"/>
                  <wp:docPr id="21" name="图片 2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descr="Image1"/>
                          <pic:cNvPicPr>
                            <a:picLocks noChangeAspect="1"/>
                          </pic:cNvPicPr>
                        </pic:nvPicPr>
                        <pic:blipFill>
                          <a:blip r:embed="rId22"/>
                          <a:stretch>
                            <a:fillRect/>
                          </a:stretch>
                        </pic:blipFill>
                        <pic:spPr>
                          <a:xfrm>
                            <a:off x="0" y="0"/>
                            <a:ext cx="1663065" cy="1876425"/>
                          </a:xfrm>
                          <a:prstGeom prst="rect">
                            <a:avLst/>
                          </a:prstGeom>
                          <a:noFill/>
                          <a:ln>
                            <a:noFill/>
                          </a:ln>
                        </pic:spPr>
                      </pic:pic>
                    </a:graphicData>
                  </a:graphic>
                </wp:inline>
              </w:drawing>
            </w:r>
          </w:p>
        </w:tc>
        <w:tc>
          <w:tcPr>
            <w:tcW w:w="2841"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63065" cy="1876425"/>
                  <wp:effectExtent l="0" t="0" r="13335" b="9525"/>
                  <wp:docPr id="22" name="图片 2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descr="Image2"/>
                          <pic:cNvPicPr>
                            <a:picLocks noChangeAspect="1"/>
                          </pic:cNvPicPr>
                        </pic:nvPicPr>
                        <pic:blipFill>
                          <a:blip r:embed="rId23"/>
                          <a:stretch>
                            <a:fillRect/>
                          </a:stretch>
                        </pic:blipFill>
                        <pic:spPr>
                          <a:xfrm>
                            <a:off x="0" y="0"/>
                            <a:ext cx="1663065" cy="1876425"/>
                          </a:xfrm>
                          <a:prstGeom prst="rect">
                            <a:avLst/>
                          </a:prstGeom>
                          <a:noFill/>
                          <a:ln>
                            <a:noFill/>
                          </a:ln>
                        </pic:spPr>
                      </pic:pic>
                    </a:graphicData>
                  </a:graphic>
                </wp:inline>
              </w:drawing>
            </w:r>
          </w:p>
        </w:tc>
        <w:tc>
          <w:tcPr>
            <w:tcW w:w="2841"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57985" cy="1241425"/>
                  <wp:effectExtent l="0" t="0" r="18415" b="15875"/>
                  <wp:docPr id="20" name="图片 27"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descr="图片14"/>
                          <pic:cNvPicPr>
                            <a:picLocks noChangeAspect="1"/>
                          </pic:cNvPicPr>
                        </pic:nvPicPr>
                        <pic:blipFill>
                          <a:blip r:embed="rId24"/>
                          <a:stretch>
                            <a:fillRect/>
                          </a:stretch>
                        </pic:blipFill>
                        <pic:spPr>
                          <a:xfrm>
                            <a:off x="0" y="0"/>
                            <a:ext cx="1657985" cy="1241425"/>
                          </a:xfrm>
                          <a:prstGeom prst="rect">
                            <a:avLst/>
                          </a:prstGeom>
                          <a:noFill/>
                          <a:ln>
                            <a:noFill/>
                          </a:ln>
                        </pic:spPr>
                      </pic:pic>
                    </a:graphicData>
                  </a:graphic>
                </wp:inline>
              </w:drawing>
            </w:r>
          </w:p>
        </w:tc>
      </w:tr>
    </w:tbl>
    <w:p>
      <w:pPr>
        <w:jc w:val="center"/>
        <w:rPr>
          <w:rFonts w:hint="eastAsia" w:ascii="宋体" w:hAnsi="宋体" w:eastAsia="宋体" w:cs="宋体"/>
          <w:sz w:val="24"/>
          <w:szCs w:val="24"/>
        </w:rPr>
      </w:pPr>
      <w:r>
        <w:rPr>
          <w:rFonts w:hint="eastAsia" w:ascii="宋体" w:hAnsi="宋体" w:eastAsia="宋体" w:cs="宋体"/>
          <w:sz w:val="24"/>
          <w:szCs w:val="24"/>
        </w:rPr>
        <w:t>图5 血管瘤</w:t>
      </w:r>
    </w:p>
    <w:p>
      <w:pPr>
        <w:jc w:val="center"/>
        <w:rPr>
          <w:rFonts w:hint="eastAsia" w:ascii="宋体" w:hAnsi="宋体" w:eastAsia="宋体" w:cs="宋体"/>
          <w:sz w:val="24"/>
          <w:szCs w:val="24"/>
        </w:rPr>
      </w:pPr>
      <w:r>
        <w:rPr>
          <w:rFonts w:hint="eastAsia" w:ascii="宋体" w:hAnsi="宋体" w:eastAsia="宋体" w:cs="宋体"/>
          <w:sz w:val="24"/>
          <w:szCs w:val="24"/>
        </w:rPr>
        <w:t>注：a.增强（动脉期）；b增强（静脉期）；c.病理图片</w:t>
      </w:r>
    </w:p>
    <w:tbl>
      <w:tblPr>
        <w:tblStyle w:val="10"/>
        <w:tblW w:w="0" w:type="auto"/>
        <w:tblInd w:w="0" w:type="dxa"/>
        <w:tblLayout w:type="fixed"/>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63065" cy="1876425"/>
                  <wp:effectExtent l="0" t="0" r="13335" b="9525"/>
                  <wp:docPr id="19" name="图片 2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descr="Image1"/>
                          <pic:cNvPicPr>
                            <a:picLocks noChangeAspect="1"/>
                          </pic:cNvPicPr>
                        </pic:nvPicPr>
                        <pic:blipFill>
                          <a:blip r:embed="rId25"/>
                          <a:stretch>
                            <a:fillRect/>
                          </a:stretch>
                        </pic:blipFill>
                        <pic:spPr>
                          <a:xfrm>
                            <a:off x="0" y="0"/>
                            <a:ext cx="1663065" cy="1876425"/>
                          </a:xfrm>
                          <a:prstGeom prst="rect">
                            <a:avLst/>
                          </a:prstGeom>
                          <a:noFill/>
                          <a:ln>
                            <a:noFill/>
                          </a:ln>
                        </pic:spPr>
                      </pic:pic>
                    </a:graphicData>
                  </a:graphic>
                </wp:inline>
              </w:drawing>
            </w:r>
          </w:p>
        </w:tc>
        <w:tc>
          <w:tcPr>
            <w:tcW w:w="2841"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63065" cy="1876425"/>
                  <wp:effectExtent l="0" t="0" r="13335" b="9525"/>
                  <wp:docPr id="17" name="图片 2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9" descr="Image2"/>
                          <pic:cNvPicPr>
                            <a:picLocks noChangeAspect="1"/>
                          </pic:cNvPicPr>
                        </pic:nvPicPr>
                        <pic:blipFill>
                          <a:blip r:embed="rId26"/>
                          <a:stretch>
                            <a:fillRect/>
                          </a:stretch>
                        </pic:blipFill>
                        <pic:spPr>
                          <a:xfrm>
                            <a:off x="0" y="0"/>
                            <a:ext cx="1663065" cy="1876425"/>
                          </a:xfrm>
                          <a:prstGeom prst="rect">
                            <a:avLst/>
                          </a:prstGeom>
                          <a:noFill/>
                          <a:ln>
                            <a:noFill/>
                          </a:ln>
                        </pic:spPr>
                      </pic:pic>
                    </a:graphicData>
                  </a:graphic>
                </wp:inline>
              </w:drawing>
            </w:r>
          </w:p>
        </w:tc>
        <w:tc>
          <w:tcPr>
            <w:tcW w:w="2841"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59890" cy="1243330"/>
                  <wp:effectExtent l="0" t="0" r="16510" b="13970"/>
                  <wp:docPr id="18" name="图片 30"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descr="图片12"/>
                          <pic:cNvPicPr>
                            <a:picLocks noChangeAspect="1"/>
                          </pic:cNvPicPr>
                        </pic:nvPicPr>
                        <pic:blipFill>
                          <a:blip r:embed="rId27"/>
                          <a:stretch>
                            <a:fillRect/>
                          </a:stretch>
                        </pic:blipFill>
                        <pic:spPr>
                          <a:xfrm>
                            <a:off x="0" y="0"/>
                            <a:ext cx="1659890" cy="1243330"/>
                          </a:xfrm>
                          <a:prstGeom prst="rect">
                            <a:avLst/>
                          </a:prstGeom>
                          <a:noFill/>
                          <a:ln>
                            <a:noFill/>
                          </a:ln>
                        </pic:spPr>
                      </pic:pic>
                    </a:graphicData>
                  </a:graphic>
                </wp:inline>
              </w:drawing>
            </w:r>
          </w:p>
        </w:tc>
      </w:tr>
    </w:tbl>
    <w:p>
      <w:pPr>
        <w:jc w:val="center"/>
        <w:rPr>
          <w:rFonts w:hint="eastAsia" w:ascii="宋体" w:hAnsi="宋体" w:eastAsia="宋体" w:cs="宋体"/>
          <w:sz w:val="24"/>
          <w:szCs w:val="24"/>
        </w:rPr>
      </w:pPr>
      <w:r>
        <w:rPr>
          <w:rFonts w:hint="eastAsia" w:ascii="宋体" w:hAnsi="宋体" w:eastAsia="宋体" w:cs="宋体"/>
          <w:sz w:val="24"/>
          <w:szCs w:val="24"/>
        </w:rPr>
        <w:t>图6 淋巴瘤</w:t>
      </w:r>
    </w:p>
    <w:p>
      <w:pPr>
        <w:jc w:val="center"/>
        <w:rPr>
          <w:rFonts w:hint="eastAsia" w:ascii="宋体" w:hAnsi="宋体" w:eastAsia="宋体" w:cs="宋体"/>
          <w:sz w:val="24"/>
          <w:szCs w:val="24"/>
        </w:rPr>
      </w:pPr>
      <w:r>
        <w:rPr>
          <w:rFonts w:hint="eastAsia" w:ascii="宋体" w:hAnsi="宋体" w:eastAsia="宋体" w:cs="宋体"/>
          <w:sz w:val="24"/>
          <w:szCs w:val="24"/>
        </w:rPr>
        <w:t>注：a.增强（动脉期）；b增强（静脉期）；c.病理图片</w:t>
      </w:r>
    </w:p>
    <w:tbl>
      <w:tblPr>
        <w:tblStyle w:val="10"/>
        <w:tblpPr w:leftFromText="180" w:rightFromText="180" w:vertAnchor="text" w:horzAnchor="page" w:tblpX="1789" w:tblpY="521"/>
        <w:tblOverlap w:val="never"/>
        <w:tblW w:w="0" w:type="auto"/>
        <w:tblInd w:w="0" w:type="dxa"/>
        <w:tblLayout w:type="fixed"/>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63065" cy="1876425"/>
                  <wp:effectExtent l="0" t="0" r="13335" b="9525"/>
                  <wp:docPr id="16" name="图片 3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descr="Image1"/>
                          <pic:cNvPicPr>
                            <a:picLocks noChangeAspect="1"/>
                          </pic:cNvPicPr>
                        </pic:nvPicPr>
                        <pic:blipFill>
                          <a:blip r:embed="rId28"/>
                          <a:stretch>
                            <a:fillRect/>
                          </a:stretch>
                        </pic:blipFill>
                        <pic:spPr>
                          <a:xfrm>
                            <a:off x="0" y="0"/>
                            <a:ext cx="1663065" cy="1876425"/>
                          </a:xfrm>
                          <a:prstGeom prst="rect">
                            <a:avLst/>
                          </a:prstGeom>
                          <a:noFill/>
                          <a:ln>
                            <a:noFill/>
                          </a:ln>
                        </pic:spPr>
                      </pic:pic>
                    </a:graphicData>
                  </a:graphic>
                </wp:inline>
              </w:drawing>
            </w:r>
          </w:p>
        </w:tc>
        <w:tc>
          <w:tcPr>
            <w:tcW w:w="2841"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63065" cy="1876425"/>
                  <wp:effectExtent l="0" t="0" r="13335" b="9525"/>
                  <wp:docPr id="13" name="图片 3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Image2"/>
                          <pic:cNvPicPr>
                            <a:picLocks noChangeAspect="1"/>
                          </pic:cNvPicPr>
                        </pic:nvPicPr>
                        <pic:blipFill>
                          <a:blip r:embed="rId29"/>
                          <a:stretch>
                            <a:fillRect/>
                          </a:stretch>
                        </pic:blipFill>
                        <pic:spPr>
                          <a:xfrm>
                            <a:off x="0" y="0"/>
                            <a:ext cx="1663065" cy="1876425"/>
                          </a:xfrm>
                          <a:prstGeom prst="rect">
                            <a:avLst/>
                          </a:prstGeom>
                          <a:noFill/>
                          <a:ln>
                            <a:noFill/>
                          </a:ln>
                        </pic:spPr>
                      </pic:pic>
                    </a:graphicData>
                  </a:graphic>
                </wp:inline>
              </w:drawing>
            </w:r>
          </w:p>
        </w:tc>
        <w:tc>
          <w:tcPr>
            <w:tcW w:w="2841" w:type="dxa"/>
            <w:shd w:val="clear" w:color="auto" w:fill="auto"/>
            <w:noWrap w:val="0"/>
            <w:vAlign w:val="top"/>
          </w:tcPr>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59890" cy="1243330"/>
                  <wp:effectExtent l="0" t="0" r="16510" b="13970"/>
                  <wp:docPr id="15" name="图片 33"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3" descr="图片10"/>
                          <pic:cNvPicPr>
                            <a:picLocks noChangeAspect="1"/>
                          </pic:cNvPicPr>
                        </pic:nvPicPr>
                        <pic:blipFill>
                          <a:blip r:embed="rId30"/>
                          <a:stretch>
                            <a:fillRect/>
                          </a:stretch>
                        </pic:blipFill>
                        <pic:spPr>
                          <a:xfrm>
                            <a:off x="0" y="0"/>
                            <a:ext cx="1659890" cy="1243330"/>
                          </a:xfrm>
                          <a:prstGeom prst="rect">
                            <a:avLst/>
                          </a:prstGeom>
                          <a:noFill/>
                          <a:ln>
                            <a:noFill/>
                          </a:ln>
                        </pic:spPr>
                      </pic:pic>
                    </a:graphicData>
                  </a:graphic>
                </wp:inline>
              </w:drawing>
            </w:r>
          </w:p>
        </w:tc>
      </w:tr>
    </w:tbl>
    <w:p>
      <w:pPr>
        <w:spacing w:line="520" w:lineRule="exact"/>
        <w:rPr>
          <w:rFonts w:hint="eastAsia" w:ascii="宋体" w:hAnsi="宋体" w:eastAsia="宋体" w:cs="宋体"/>
          <w:sz w:val="24"/>
          <w:szCs w:val="24"/>
        </w:rPr>
      </w:pPr>
    </w:p>
    <w:p>
      <w:pPr>
        <w:jc w:val="center"/>
        <w:rPr>
          <w:rFonts w:hint="eastAsia" w:ascii="宋体" w:hAnsi="宋体" w:eastAsia="宋体" w:cs="宋体"/>
          <w:sz w:val="24"/>
          <w:szCs w:val="24"/>
        </w:rPr>
      </w:pPr>
      <w:r>
        <w:rPr>
          <w:rFonts w:hint="eastAsia" w:ascii="宋体" w:hAnsi="宋体" w:eastAsia="宋体" w:cs="宋体"/>
          <w:sz w:val="24"/>
          <w:szCs w:val="24"/>
        </w:rPr>
        <w:t>图7 粘液表皮样癌</w:t>
      </w:r>
    </w:p>
    <w:p>
      <w:pPr>
        <w:jc w:val="center"/>
        <w:rPr>
          <w:rFonts w:hint="eastAsia" w:ascii="宋体" w:hAnsi="宋体" w:eastAsia="宋体" w:cs="宋体"/>
          <w:sz w:val="24"/>
          <w:szCs w:val="24"/>
        </w:rPr>
      </w:pPr>
      <w:r>
        <w:rPr>
          <w:rFonts w:hint="eastAsia" w:ascii="宋体" w:hAnsi="宋体" w:eastAsia="宋体" w:cs="宋体"/>
          <w:sz w:val="24"/>
          <w:szCs w:val="24"/>
        </w:rPr>
        <w:t>注：a.增强（动脉期）；b增强（静脉期）；c.病理图片</w:t>
      </w:r>
    </w:p>
    <w:p>
      <w:pPr>
        <w:spacing w:line="520" w:lineRule="exact"/>
        <w:rPr>
          <w:rFonts w:hint="eastAsia" w:ascii="宋体" w:hAnsi="宋体" w:eastAsia="宋体" w:cs="宋体"/>
          <w:b/>
          <w:bCs/>
          <w:sz w:val="24"/>
          <w:szCs w:val="24"/>
        </w:rPr>
      </w:pPr>
      <w:r>
        <w:rPr>
          <w:rFonts w:hint="eastAsia" w:ascii="宋体" w:hAnsi="宋体" w:eastAsia="宋体" w:cs="宋体"/>
          <w:b/>
          <w:bCs/>
          <w:sz w:val="24"/>
          <w:szCs w:val="24"/>
        </w:rPr>
        <w:t>3讨论</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腮腺位于外耳道的前下方，下颌支与胸锁乳突肌之间的窝内，呈锥体形，尖朝内侧，底朝外侧。解剖学上由面神经将腮腺分为浅、深两部分。临床上常将覆盖于咬肌后份的浅面，呈三角形向前延伸的部分称为浅部；位于下颌后窝及下颌支的深面，向内深至咽侧壁的部分称为深部；下颌支后缘处有一峡部，为浅部和深部的连接处。浅叶中有密集分布的腮腺腺体和导管，故腮腺浅叶是腮腺肿瘤的好发部位</w:t>
      </w:r>
      <w:r>
        <w:rPr>
          <w:rFonts w:hint="eastAsia" w:ascii="宋体" w:hAnsi="宋体" w:eastAsia="宋体" w:cs="宋体"/>
          <w:sz w:val="24"/>
          <w:szCs w:val="24"/>
          <w:vertAlign w:val="superscript"/>
        </w:rPr>
        <w:fldChar w:fldCharType="begin"/>
      </w:r>
      <w:r>
        <w:rPr>
          <w:rFonts w:hint="eastAsia" w:ascii="宋体" w:hAnsi="宋体" w:eastAsia="宋体" w:cs="宋体"/>
          <w:sz w:val="24"/>
          <w:szCs w:val="24"/>
          <w:vertAlign w:val="superscript"/>
        </w:rPr>
        <w:instrText xml:space="preserve"> REF _Ref30432 \w \h  \* MERGEFORMAT </w:instrText>
      </w:r>
      <w:r>
        <w:rPr>
          <w:rFonts w:hint="eastAsia" w:ascii="宋体" w:hAnsi="宋体" w:eastAsia="宋体" w:cs="宋体"/>
          <w:sz w:val="24"/>
          <w:szCs w:val="24"/>
          <w:vertAlign w:val="superscript"/>
        </w:rPr>
        <w:fldChar w:fldCharType="separate"/>
      </w:r>
      <w:r>
        <w:rPr>
          <w:rFonts w:hint="eastAsia" w:ascii="宋体" w:hAnsi="宋体" w:eastAsia="宋体" w:cs="宋体"/>
          <w:sz w:val="24"/>
          <w:szCs w:val="24"/>
          <w:vertAlign w:val="superscript"/>
        </w:rPr>
        <w:t>[6]</w:t>
      </w:r>
      <w:r>
        <w:rPr>
          <w:rFonts w:hint="eastAsia" w:ascii="宋体" w:hAnsi="宋体" w:eastAsia="宋体" w:cs="宋体"/>
          <w:sz w:val="24"/>
          <w:szCs w:val="24"/>
          <w:vertAlign w:val="superscript"/>
        </w:rPr>
        <w:fldChar w:fldCharType="end"/>
      </w:r>
      <w:r>
        <w:rPr>
          <w:rFonts w:hint="eastAsia" w:ascii="宋体" w:hAnsi="宋体" w:eastAsia="宋体" w:cs="宋体"/>
          <w:sz w:val="24"/>
          <w:szCs w:val="24"/>
        </w:rPr>
        <w:t>。腮腺肿瘤往往由于耳垂前下方包块，或侵犯面部神经导致面部瘫痪，而被发现。腮腺肿瘤生长缓慢，不具有高度的恶性转化。随着CT的不断发展，现在它已经成为该疾病检查的首选方法</w:t>
      </w:r>
      <w:r>
        <w:rPr>
          <w:rFonts w:hint="eastAsia" w:ascii="宋体" w:hAnsi="宋体" w:eastAsia="宋体" w:cs="宋体"/>
          <w:sz w:val="24"/>
          <w:szCs w:val="24"/>
          <w:vertAlign w:val="superscript"/>
        </w:rPr>
        <w:fldChar w:fldCharType="begin"/>
      </w:r>
      <w:r>
        <w:rPr>
          <w:rFonts w:hint="eastAsia" w:ascii="宋体" w:hAnsi="宋体" w:eastAsia="宋体" w:cs="宋体"/>
          <w:sz w:val="24"/>
          <w:szCs w:val="24"/>
          <w:vertAlign w:val="superscript"/>
        </w:rPr>
        <w:instrText xml:space="preserve"> REF _Ref30380 \w \h  \* MERGEFORMAT </w:instrText>
      </w:r>
      <w:r>
        <w:rPr>
          <w:rFonts w:hint="eastAsia" w:ascii="宋体" w:hAnsi="宋体" w:eastAsia="宋体" w:cs="宋体"/>
          <w:sz w:val="24"/>
          <w:szCs w:val="24"/>
          <w:vertAlign w:val="superscript"/>
        </w:rPr>
        <w:fldChar w:fldCharType="separate"/>
      </w:r>
      <w:r>
        <w:rPr>
          <w:rFonts w:hint="eastAsia" w:ascii="宋体" w:hAnsi="宋体" w:eastAsia="宋体" w:cs="宋体"/>
          <w:sz w:val="24"/>
          <w:szCs w:val="24"/>
          <w:vertAlign w:val="superscript"/>
        </w:rPr>
        <w:t>[7]</w:t>
      </w:r>
      <w:r>
        <w:rPr>
          <w:rFonts w:hint="eastAsia" w:ascii="宋体" w:hAnsi="宋体" w:eastAsia="宋体" w:cs="宋体"/>
          <w:sz w:val="24"/>
          <w:szCs w:val="24"/>
          <w:vertAlign w:val="superscript"/>
        </w:rPr>
        <w:fldChar w:fldCharType="end"/>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以上病例组发现，腮腺良性肿瘤和恶性肿瘤的位置、形态轮廓、边沿、边界及淋巴结转移等有显著差别，这些特征为辨别它们的重要影像学根据。但也有例外，低度恶性肿瘤的症状与影像不具备特异性，容易误诊。具有侵袭性的恶性肿瘤侵犯到腺体边缘，可破坏浅筋膜向邻近脂肪间隙浸润，呈分叶状及结节状。腮腺深叶肿瘤易与良性肿瘤的混淆，由于其病灶位置隐蔽，早期难以鉴别。病理改变不同而性质相同的良恶性肿瘤，他们的组织学类型，通过电子计算机断层扫描仪难以进行准确区分。总之，良性肿瘤外形规整、边沿明晰、轮廓不毛糙、无侵袭性；而恶性肿瘤则边沿不明晰、密度不均、形态不规则、有侵袭性</w:t>
      </w:r>
      <w:r>
        <w:rPr>
          <w:rFonts w:hint="eastAsia" w:ascii="宋体" w:hAnsi="宋体" w:eastAsia="宋体" w:cs="宋体"/>
          <w:sz w:val="24"/>
          <w:szCs w:val="24"/>
          <w:vertAlign w:val="superscript"/>
        </w:rPr>
        <w:fldChar w:fldCharType="begin"/>
      </w:r>
      <w:r>
        <w:rPr>
          <w:rFonts w:hint="eastAsia" w:ascii="宋体" w:hAnsi="宋体" w:eastAsia="宋体" w:cs="宋体"/>
          <w:sz w:val="24"/>
          <w:szCs w:val="24"/>
          <w:vertAlign w:val="superscript"/>
        </w:rPr>
        <w:instrText xml:space="preserve"> REF _Ref29613 \w \h  \* MERGEFORMAT </w:instrText>
      </w:r>
      <w:r>
        <w:rPr>
          <w:rFonts w:hint="eastAsia" w:ascii="宋体" w:hAnsi="宋体" w:eastAsia="宋体" w:cs="宋体"/>
          <w:sz w:val="24"/>
          <w:szCs w:val="24"/>
          <w:vertAlign w:val="superscript"/>
        </w:rPr>
        <w:fldChar w:fldCharType="separate"/>
      </w:r>
      <w:r>
        <w:rPr>
          <w:rFonts w:hint="eastAsia" w:ascii="宋体" w:hAnsi="宋体" w:eastAsia="宋体" w:cs="宋体"/>
          <w:sz w:val="24"/>
          <w:szCs w:val="24"/>
          <w:vertAlign w:val="superscript"/>
        </w:rPr>
        <w:t>[9]</w:t>
      </w:r>
      <w:r>
        <w:rPr>
          <w:rFonts w:hint="eastAsia" w:ascii="宋体" w:hAnsi="宋体" w:eastAsia="宋体" w:cs="宋体"/>
          <w:sz w:val="24"/>
          <w:szCs w:val="24"/>
          <w:vertAlign w:val="superscript"/>
        </w:rPr>
        <w:fldChar w:fldCharType="end"/>
      </w:r>
      <w:r>
        <w:rPr>
          <w:rFonts w:hint="eastAsia" w:ascii="宋体" w:hAnsi="宋体" w:eastAsia="宋体" w:cs="宋体"/>
          <w:sz w:val="24"/>
          <w:szCs w:val="24"/>
        </w:rPr>
        <w:t>。病程较长的腮腺肿瘤短时间内快速生长，伴有疼痛，面瘫或周围组织固定，影像学检查提示边缘模糊，形态改变，考虑良性肿瘤恶变可能。</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影像学有助于描述肿瘤浸润深度和周围组织侵犯，他还可以通过病灶的形态、边界、轮廓，来辨别良性和恶性肿瘤，此外，影像学也有助于颈部淋巴结的临床分期。影像形态特异性较差的非恶性肿瘤的诊断率常较低。根据临床经验，CT可以较好地评估炎症反应。然而，扫描图像无法准确区分良性肿瘤和低度恶性肿瘤病变；此外，它们在视神经可视化方面的作用也十分有限。据研究，腮腺炎性病变的CT诊断正确率有75%，通过临床表现和实验室检测结果，可增加15%</w:t>
      </w:r>
      <w:r>
        <w:rPr>
          <w:rFonts w:hint="eastAsia" w:ascii="宋体" w:hAnsi="宋体" w:eastAsia="宋体" w:cs="宋体"/>
          <w:sz w:val="24"/>
          <w:szCs w:val="24"/>
          <w:vertAlign w:val="superscript"/>
        </w:rPr>
        <w:fldChar w:fldCharType="begin"/>
      </w:r>
      <w:r>
        <w:rPr>
          <w:rFonts w:hint="eastAsia" w:ascii="宋体" w:hAnsi="宋体" w:eastAsia="宋体" w:cs="宋体"/>
          <w:sz w:val="24"/>
          <w:szCs w:val="24"/>
          <w:vertAlign w:val="superscript"/>
        </w:rPr>
        <w:instrText xml:space="preserve"> REF _Ref28587 \w \h  \* MERGEFORMAT </w:instrText>
      </w:r>
      <w:r>
        <w:rPr>
          <w:rFonts w:hint="eastAsia" w:ascii="宋体" w:hAnsi="宋体" w:eastAsia="宋体" w:cs="宋体"/>
          <w:sz w:val="24"/>
          <w:szCs w:val="24"/>
          <w:vertAlign w:val="superscript"/>
        </w:rPr>
        <w:fldChar w:fldCharType="separate"/>
      </w:r>
      <w:r>
        <w:rPr>
          <w:rFonts w:hint="eastAsia" w:ascii="宋体" w:hAnsi="宋体" w:eastAsia="宋体" w:cs="宋体"/>
          <w:sz w:val="24"/>
          <w:szCs w:val="24"/>
          <w:vertAlign w:val="superscript"/>
        </w:rPr>
        <w:t>[10]</w:t>
      </w:r>
      <w:r>
        <w:rPr>
          <w:rFonts w:hint="eastAsia" w:ascii="宋体" w:hAnsi="宋体" w:eastAsia="宋体" w:cs="宋体"/>
          <w:sz w:val="24"/>
          <w:szCs w:val="24"/>
          <w:vertAlign w:val="superscript"/>
        </w:rPr>
        <w:fldChar w:fldCharType="end"/>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腮腺切除术为一种常见的腮腺肿瘤治疗方式，不同类型、不同部位、分期不同、侵袭性不同的腮腺肿瘤，选择不一样的术式，并且首次术式与预后密切相关。良性肿瘤位于浅叶时采用腮腺全切除，位于深叶时采用面神经解剖；低度恶性肿瘤位于浅叶时使用浅表腮腺切除术，位于深叶时采用全腮腺切除术；早期高度恶性肿瘤位于浅叶时采用浅表腮腺切除术和放射性治疗，深叶时采用腮腺全切除术和放射性治疗；晚期高度恶性肿瘤采用全腮腺切除术、颈部解剖和放射性治疗；不能手术的患者只能进行姑息性放射性治疗和化疗；面神经受到侵犯时要进行面神经切除和重建。术前评估腮腺肿瘤的类型、部位、分期、与邻近组织的关系，帮助确定手术术式和评估预后。借助临床表现、实验室检测结果和影像学报告，可以帮助临床医生诊断和治疗腮腺肿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参考文献：</w:t>
      </w:r>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bookmarkStart w:id="22" w:name="_Ref17723"/>
      <w:r>
        <w:rPr>
          <w:rFonts w:hint="eastAsia" w:ascii="宋体" w:hAnsi="宋体" w:eastAsia="宋体" w:cs="宋体"/>
          <w:sz w:val="24"/>
          <w:szCs w:val="24"/>
        </w:rPr>
        <w:t>吕衍春,范卫君,沈静娴,等.133例腮腺肿瘤的CT征象分析[J].癌症,2007,26(11):1263-1267.</w:t>
      </w:r>
      <w:bookmarkEnd w:id="22"/>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bookmarkStart w:id="23" w:name="_Ref17919"/>
      <w:r>
        <w:rPr>
          <w:rFonts w:hint="eastAsia" w:ascii="宋体" w:hAnsi="宋体" w:eastAsia="宋体" w:cs="宋体"/>
          <w:sz w:val="24"/>
          <w:szCs w:val="24"/>
        </w:rPr>
        <w:t>白人驹.医学影像断学[M].北京:人民卫生出版社 ，2001:147-149.</w:t>
      </w:r>
      <w:bookmarkEnd w:id="23"/>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bookmarkStart w:id="24" w:name="_Ref23973"/>
      <w:r>
        <w:rPr>
          <w:rFonts w:hint="eastAsia" w:ascii="宋体" w:hAnsi="宋体" w:eastAsia="宋体" w:cs="宋体"/>
          <w:sz w:val="24"/>
          <w:szCs w:val="24"/>
        </w:rPr>
        <w:t xml:space="preserve">侯学文,张利中.腮腺肿瘤的多层螺旋CT表现[J].中国医疗设备,2016,31(5):60-63. </w:t>
      </w:r>
      <w:bookmarkEnd w:id="24"/>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bookmarkStart w:id="25" w:name="_Ref22552"/>
      <w:r>
        <w:rPr>
          <w:rFonts w:hint="eastAsia" w:ascii="宋体" w:hAnsi="宋体" w:eastAsia="宋体" w:cs="宋体"/>
          <w:sz w:val="24"/>
          <w:szCs w:val="24"/>
        </w:rPr>
        <w:t>元建鹏, 梁碧玲,谢榜昆,等.MR征象在腮腺肿块良、恶性鉴别中的价值及其病理基础[J].中山大学学报:医学科学版, 2003, 24 (z1) :107-110.</w:t>
      </w:r>
      <w:bookmarkEnd w:id="25"/>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bookmarkStart w:id="26" w:name="_Ref24244"/>
      <w:r>
        <w:rPr>
          <w:rFonts w:hint="eastAsia" w:ascii="宋体" w:hAnsi="宋体" w:eastAsia="宋体" w:cs="宋体"/>
          <w:sz w:val="24"/>
          <w:szCs w:val="24"/>
        </w:rPr>
        <w:t>李兰宝,郑海宁.腮腺肿瘤的CT诊断[J].上海医学影像杂志, 2003, 12:59-60.</w:t>
      </w:r>
      <w:bookmarkEnd w:id="26"/>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bookmarkStart w:id="27" w:name="_Ref30380"/>
      <w:r>
        <w:rPr>
          <w:rFonts w:hint="eastAsia" w:ascii="宋体" w:hAnsi="宋体" w:eastAsia="宋体" w:cs="宋体"/>
          <w:sz w:val="24"/>
          <w:szCs w:val="24"/>
        </w:rPr>
        <w:t>贺芬宜.MSCT双期增强扫描结合彩超对腮腺肿瘤的诊断价值研</w:t>
      </w:r>
      <w:r>
        <w:rPr>
          <w:rFonts w:hint="eastAsia" w:ascii="宋体" w:hAnsi="宋体" w:eastAsia="宋体" w:cs="宋体"/>
          <w:sz w:val="24"/>
          <w:szCs w:val="24"/>
        </w:rPr>
        <w:br w:type="textWrapping"/>
      </w:r>
      <w:r>
        <w:rPr>
          <w:rFonts w:hint="eastAsia" w:ascii="宋体" w:hAnsi="宋体" w:eastAsia="宋体" w:cs="宋体"/>
          <w:sz w:val="24"/>
          <w:szCs w:val="24"/>
        </w:rPr>
        <w:t>究[D].南宁:广西医科大学，2011.</w:t>
      </w:r>
      <w:bookmarkEnd w:id="27"/>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bookmarkStart w:id="28" w:name="_Ref30432"/>
      <w:r>
        <w:rPr>
          <w:rFonts w:hint="eastAsia" w:ascii="宋体" w:hAnsi="宋体" w:eastAsia="宋体" w:cs="宋体"/>
          <w:sz w:val="24"/>
          <w:szCs w:val="24"/>
        </w:rPr>
        <w:t>彭可雨,阮兵,梁汉欢.良恶性腮腺肿瘤的CT表现及鉴别诊断[J].中国临床医学影像杂志,2015,26(7):461-464.</w:t>
      </w:r>
      <w:bookmarkEnd w:id="28"/>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bookmarkStart w:id="29" w:name="_Ref24989"/>
      <w:r>
        <w:rPr>
          <w:rFonts w:hint="eastAsia" w:ascii="宋体" w:hAnsi="宋体" w:eastAsia="宋体" w:cs="宋体"/>
          <w:sz w:val="24"/>
          <w:szCs w:val="24"/>
        </w:rPr>
        <w:t xml:space="preserve">张谦,杜凤丽,杜梅红,等.CT诊断腮腺良恶性肿瘤对头颈外科的应用价值[J].中国临床医学影像杂志,2012,23(6):420-422. </w:t>
      </w:r>
      <w:bookmarkEnd w:id="29"/>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bookmarkStart w:id="30" w:name="_Ref29613"/>
      <w:r>
        <w:rPr>
          <w:rFonts w:hint="eastAsia" w:ascii="宋体" w:hAnsi="宋体" w:eastAsia="宋体" w:cs="宋体"/>
          <w:sz w:val="24"/>
          <w:szCs w:val="24"/>
        </w:rPr>
        <w:t xml:space="preserve">吕衍春,范卫君,沈静娴,等.133例腮腺肿瘤的CT征象分析[J].癌症,2007,26(11):1263-1267. </w:t>
      </w:r>
      <w:bookmarkEnd w:id="30"/>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bookmarkStart w:id="31" w:name="_Ref28587"/>
      <w:r>
        <w:rPr>
          <w:rFonts w:hint="eastAsia" w:ascii="宋体" w:hAnsi="宋体" w:eastAsia="宋体" w:cs="宋体"/>
          <w:sz w:val="24"/>
          <w:szCs w:val="24"/>
        </w:rPr>
        <w:t xml:space="preserve">段青云,贾暮云,张雄,等.464例腮腺肿瘤回顾性分析[J].实用口腔医学杂志,2013,29(2):241-244. </w:t>
      </w:r>
      <w:bookmarkEnd w:id="31"/>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line="360" w:lineRule="auto"/>
        <w:jc w:val="center"/>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lang w:val="en-US" w:eastAsia="zh-CN"/>
        </w:rPr>
        <w:t>耻骨联合骨炎</w:t>
      </w:r>
      <w:r>
        <w:rPr>
          <w:rFonts w:hint="eastAsia" w:ascii="宋体" w:hAnsi="宋体" w:eastAsia="宋体" w:cs="宋体"/>
          <w:b/>
          <w:color w:val="000000"/>
          <w:kern w:val="0"/>
          <w:sz w:val="24"/>
          <w:szCs w:val="24"/>
        </w:rPr>
        <w:t>的</w:t>
      </w:r>
      <w:r>
        <w:rPr>
          <w:rFonts w:hint="eastAsia" w:ascii="宋体" w:hAnsi="宋体" w:eastAsia="宋体" w:cs="宋体"/>
          <w:b/>
          <w:color w:val="000000"/>
          <w:kern w:val="0"/>
          <w:sz w:val="24"/>
          <w:szCs w:val="24"/>
          <w:lang w:val="en-US" w:eastAsia="zh-CN"/>
        </w:rPr>
        <w:t>MRI</w:t>
      </w:r>
      <w:r>
        <w:rPr>
          <w:rFonts w:hint="eastAsia" w:ascii="宋体" w:hAnsi="宋体" w:eastAsia="宋体" w:cs="宋体"/>
          <w:b/>
          <w:color w:val="000000"/>
          <w:kern w:val="0"/>
          <w:sz w:val="24"/>
          <w:szCs w:val="24"/>
        </w:rPr>
        <w:t>表现</w:t>
      </w:r>
    </w:p>
    <w:p>
      <w:pPr>
        <w:keepNext w:val="0"/>
        <w:keepLines w:val="0"/>
        <w:pageBreakBefore w:val="0"/>
        <w:widowControl w:val="0"/>
        <w:kinsoku/>
        <w:wordWrap/>
        <w:overflowPunct/>
        <w:topLinePunct w:val="0"/>
        <w:autoSpaceDE/>
        <w:autoSpaceDN/>
        <w:bidi w:val="0"/>
        <w:adjustRightInd/>
        <w:snapToGrid w:val="0"/>
        <w:spacing w:after="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敖锋</w:t>
      </w:r>
      <w:r>
        <w:rPr>
          <w:rFonts w:hint="eastAsia" w:ascii="宋体" w:hAnsi="宋体" w:eastAsia="宋体" w:cs="宋体"/>
          <w:sz w:val="24"/>
          <w:szCs w:val="24"/>
          <w:vertAlign w:val="superscript"/>
          <w:lang w:val="en-US" w:eastAsia="zh-CN"/>
        </w:rPr>
        <w:t>1，2</w:t>
      </w:r>
      <w:r>
        <w:rPr>
          <w:rFonts w:hint="eastAsia" w:ascii="宋体" w:hAnsi="宋体" w:eastAsia="宋体" w:cs="宋体"/>
          <w:sz w:val="24"/>
          <w:szCs w:val="24"/>
        </w:rPr>
        <w:t>，张自力</w:t>
      </w:r>
      <w:r>
        <w:rPr>
          <w:rFonts w:hint="eastAsia" w:ascii="宋体" w:hAnsi="宋体" w:eastAsia="宋体" w:cs="宋体"/>
          <w:sz w:val="24"/>
          <w:szCs w:val="24"/>
          <w:vertAlign w:val="superscript"/>
          <w:lang w:val="en-US" w:eastAsia="zh-CN"/>
        </w:rPr>
        <w:t>1，2</w:t>
      </w:r>
      <w:r>
        <w:rPr>
          <w:rFonts w:hint="eastAsia" w:ascii="宋体" w:hAnsi="宋体" w:eastAsia="宋体" w:cs="宋体"/>
          <w:sz w:val="24"/>
          <w:szCs w:val="24"/>
        </w:rPr>
        <w:t>，陈光斌</w:t>
      </w:r>
      <w:r>
        <w:rPr>
          <w:rFonts w:hint="eastAsia" w:ascii="宋体" w:hAnsi="宋体" w:eastAsia="宋体" w:cs="宋体"/>
          <w:sz w:val="24"/>
          <w:szCs w:val="24"/>
          <w:vertAlign w:val="superscript"/>
          <w:lang w:val="en-US" w:eastAsia="zh-CN"/>
        </w:rPr>
        <w:t>1，2</w:t>
      </w:r>
    </w:p>
    <w:p>
      <w:pPr>
        <w:keepNext w:val="0"/>
        <w:keepLines w:val="0"/>
        <w:pageBreakBefore w:val="0"/>
        <w:widowControl w:val="0"/>
        <w:kinsoku/>
        <w:wordWrap/>
        <w:overflowPunct/>
        <w:topLinePunct w:val="0"/>
        <w:autoSpaceDE/>
        <w:autoSpaceDN/>
        <w:bidi w:val="0"/>
        <w:adjustRightInd/>
        <w:snapToGrid w:val="0"/>
        <w:spacing w:after="0"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(1十堰市人民医院放射影像中心 2十堰市人民医院放射影像研究所 湖北十堰 442000）</w:t>
      </w:r>
    </w:p>
    <w:p>
      <w:pPr>
        <w:keepNext w:val="0"/>
        <w:keepLines w:val="0"/>
        <w:pageBreakBefore w:val="0"/>
        <w:widowControl w:val="0"/>
        <w:kinsoku/>
        <w:wordWrap/>
        <w:overflowPunct/>
        <w:topLinePunct w:val="0"/>
        <w:autoSpaceDE/>
        <w:autoSpaceDN/>
        <w:bidi w:val="0"/>
        <w:adjustRightInd/>
        <w:snapToGrid w:val="0"/>
        <w:spacing w:after="0"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第一作者简介：敖锋（1984年-），男，湖北十堰人，主治医师，硕士生</w:t>
      </w:r>
      <w:r>
        <w:rPr>
          <w:rFonts w:hint="eastAsia" w:ascii="宋体" w:hAnsi="宋体" w:eastAsia="宋体" w:cs="宋体"/>
          <w:sz w:val="24"/>
          <w:szCs w:val="24"/>
          <w:lang w:val="en-US" w:eastAsia="zh-CN"/>
        </w:rPr>
        <w:t>导师</w:t>
      </w:r>
      <w:r>
        <w:rPr>
          <w:rFonts w:hint="eastAsia" w:ascii="宋体" w:hAnsi="宋体" w:eastAsia="宋体" w:cs="宋体"/>
          <w:sz w:val="24"/>
          <w:szCs w:val="24"/>
        </w:rPr>
        <w:t>，研究方向：多模态MRI成像</w:t>
      </w:r>
      <w:r>
        <w:rPr>
          <w:rFonts w:hint="eastAsia" w:ascii="宋体" w:hAnsi="宋体" w:eastAsia="宋体" w:cs="宋体"/>
          <w:sz w:val="24"/>
          <w:szCs w:val="24"/>
          <w:lang w:val="en-US" w:eastAsia="zh-CN"/>
        </w:rPr>
        <w:t>技术</w:t>
      </w:r>
      <w:r>
        <w:rPr>
          <w:rFonts w:hint="eastAsia" w:ascii="宋体" w:hAnsi="宋体" w:eastAsia="宋体" w:cs="宋体"/>
          <w:sz w:val="24"/>
          <w:szCs w:val="24"/>
        </w:rPr>
        <w:t>；E-mail：aofeng19841112@163.com；手机：13227616658</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【摘要】</w:t>
      </w:r>
      <w:r>
        <w:rPr>
          <w:rFonts w:hint="eastAsia" w:ascii="宋体" w:hAnsi="宋体" w:eastAsia="宋体" w:cs="宋体"/>
          <w:b/>
          <w:bCs/>
          <w:sz w:val="24"/>
          <w:szCs w:val="24"/>
        </w:rPr>
        <w:t>目的：</w:t>
      </w:r>
      <w:r>
        <w:rPr>
          <w:rFonts w:hint="eastAsia" w:ascii="宋体" w:hAnsi="宋体" w:eastAsia="宋体" w:cs="宋体"/>
          <w:b w:val="0"/>
          <w:bCs w:val="0"/>
          <w:sz w:val="24"/>
          <w:szCs w:val="24"/>
        </w:rPr>
        <w:t>为进一步提高</w:t>
      </w:r>
      <w:r>
        <w:rPr>
          <w:rFonts w:hint="eastAsia" w:ascii="宋体" w:hAnsi="宋体" w:eastAsia="宋体" w:cs="宋体"/>
          <w:b w:val="0"/>
          <w:bCs w:val="0"/>
          <w:sz w:val="24"/>
          <w:szCs w:val="24"/>
          <w:lang w:val="en-US" w:eastAsia="zh-CN"/>
        </w:rPr>
        <w:t>临床工作中对</w:t>
      </w:r>
      <w:r>
        <w:rPr>
          <w:rFonts w:hint="eastAsia" w:ascii="宋体" w:hAnsi="宋体" w:eastAsia="宋体" w:cs="宋体"/>
          <w:b w:val="0"/>
          <w:bCs w:val="0"/>
          <w:sz w:val="24"/>
          <w:szCs w:val="24"/>
        </w:rPr>
        <w:t>耻骨联合骨炎诊断正确率，</w:t>
      </w:r>
      <w:r>
        <w:rPr>
          <w:rFonts w:hint="eastAsia" w:ascii="宋体" w:hAnsi="宋体" w:eastAsia="宋体" w:cs="宋体"/>
          <w:sz w:val="24"/>
          <w:szCs w:val="24"/>
        </w:rPr>
        <w:t>探讨耻骨联合骨炎的</w:t>
      </w:r>
      <w:r>
        <w:rPr>
          <w:rFonts w:hint="eastAsia" w:ascii="宋体" w:hAnsi="宋体" w:eastAsia="宋体" w:cs="宋体"/>
          <w:sz w:val="24"/>
          <w:szCs w:val="24"/>
          <w:lang w:val="en-US" w:eastAsia="zh-CN"/>
        </w:rPr>
        <w:t>MRI</w:t>
      </w:r>
      <w:r>
        <w:rPr>
          <w:rFonts w:hint="eastAsia" w:ascii="宋体" w:hAnsi="宋体" w:eastAsia="宋体" w:cs="宋体"/>
          <w:sz w:val="24"/>
          <w:szCs w:val="24"/>
        </w:rPr>
        <w:t>表现</w:t>
      </w:r>
      <w:r>
        <w:rPr>
          <w:rFonts w:hint="eastAsia" w:ascii="宋体" w:hAnsi="宋体" w:eastAsia="宋体" w:cs="宋体"/>
          <w:sz w:val="24"/>
          <w:szCs w:val="24"/>
          <w:lang w:val="en-US" w:eastAsia="zh-CN"/>
        </w:rPr>
        <w:t>和鉴别诊断</w:t>
      </w:r>
      <w:r>
        <w:rPr>
          <w:rFonts w:hint="eastAsia" w:ascii="宋体" w:hAnsi="宋体" w:eastAsia="宋体" w:cs="宋体"/>
          <w:sz w:val="24"/>
          <w:szCs w:val="24"/>
        </w:rPr>
        <w:t>。</w:t>
      </w:r>
      <w:r>
        <w:rPr>
          <w:rFonts w:hint="eastAsia" w:ascii="宋体" w:hAnsi="宋体" w:eastAsia="宋体" w:cs="宋体"/>
          <w:b/>
          <w:bCs/>
          <w:sz w:val="24"/>
          <w:szCs w:val="24"/>
        </w:rPr>
        <w:t>方法：</w:t>
      </w:r>
      <w:r>
        <w:rPr>
          <w:rFonts w:hint="eastAsia" w:ascii="宋体" w:hAnsi="宋体" w:eastAsia="宋体" w:cs="宋体"/>
          <w:sz w:val="24"/>
          <w:szCs w:val="24"/>
          <w:lang w:val="en-US" w:eastAsia="zh-CN"/>
        </w:rPr>
        <w:t>回顾性分析</w:t>
      </w:r>
      <w:r>
        <w:rPr>
          <w:rFonts w:hint="eastAsia" w:ascii="宋体" w:hAnsi="宋体" w:eastAsia="宋体" w:cs="宋体"/>
          <w:sz w:val="24"/>
          <w:szCs w:val="24"/>
        </w:rPr>
        <w:t>4例</w:t>
      </w:r>
      <w:r>
        <w:rPr>
          <w:rFonts w:hint="eastAsia" w:ascii="宋体" w:hAnsi="宋体" w:eastAsia="宋体" w:cs="宋体"/>
          <w:sz w:val="24"/>
          <w:szCs w:val="24"/>
          <w:lang w:val="en-US" w:eastAsia="zh-CN"/>
        </w:rPr>
        <w:t>临床诊断为</w:t>
      </w:r>
      <w:r>
        <w:rPr>
          <w:rFonts w:hint="eastAsia" w:ascii="宋体" w:hAnsi="宋体" w:eastAsia="宋体" w:cs="宋体"/>
          <w:b w:val="0"/>
          <w:bCs w:val="0"/>
          <w:sz w:val="24"/>
          <w:szCs w:val="24"/>
        </w:rPr>
        <w:t>耻骨联合骨炎</w:t>
      </w:r>
      <w:r>
        <w:rPr>
          <w:rFonts w:hint="eastAsia" w:ascii="宋体" w:hAnsi="宋体" w:eastAsia="宋体" w:cs="宋体"/>
          <w:sz w:val="24"/>
          <w:szCs w:val="24"/>
          <w:lang w:val="en-US" w:eastAsia="zh-CN"/>
        </w:rPr>
        <w:t>经随访完全治愈</w:t>
      </w:r>
      <w:r>
        <w:rPr>
          <w:rFonts w:hint="eastAsia" w:ascii="宋体" w:hAnsi="宋体" w:eastAsia="宋体" w:cs="宋体"/>
          <w:sz w:val="24"/>
          <w:szCs w:val="24"/>
        </w:rPr>
        <w:t>患者的临床及</w:t>
      </w:r>
      <w:r>
        <w:rPr>
          <w:rFonts w:hint="eastAsia" w:ascii="宋体" w:hAnsi="宋体" w:eastAsia="宋体" w:cs="宋体"/>
          <w:sz w:val="24"/>
          <w:szCs w:val="24"/>
          <w:lang w:val="en-US" w:eastAsia="zh-CN"/>
        </w:rPr>
        <w:t>MRI</w:t>
      </w:r>
      <w:r>
        <w:rPr>
          <w:rFonts w:hint="eastAsia" w:ascii="宋体" w:hAnsi="宋体" w:eastAsia="宋体" w:cs="宋体"/>
          <w:sz w:val="24"/>
          <w:szCs w:val="24"/>
        </w:rPr>
        <w:t>资料。</w:t>
      </w:r>
      <w:r>
        <w:rPr>
          <w:rFonts w:hint="eastAsia" w:ascii="宋体" w:hAnsi="宋体" w:eastAsia="宋体" w:cs="宋体"/>
          <w:b/>
          <w:bCs/>
          <w:sz w:val="24"/>
          <w:szCs w:val="24"/>
        </w:rPr>
        <w:t>结果：</w:t>
      </w:r>
      <w:r>
        <w:rPr>
          <w:rFonts w:hint="eastAsia" w:ascii="宋体" w:hAnsi="宋体" w:eastAsia="宋体" w:cs="宋体"/>
          <w:b w:val="0"/>
          <w:bCs w:val="0"/>
          <w:sz w:val="24"/>
          <w:szCs w:val="24"/>
        </w:rPr>
        <w:t>耻骨联合骨炎</w:t>
      </w:r>
      <w:r>
        <w:rPr>
          <w:rFonts w:hint="eastAsia" w:ascii="宋体" w:hAnsi="宋体" w:eastAsia="宋体" w:cs="宋体"/>
          <w:b w:val="0"/>
          <w:bCs w:val="0"/>
          <w:sz w:val="24"/>
          <w:szCs w:val="24"/>
          <w:lang w:val="en-US" w:eastAsia="zh-CN"/>
        </w:rPr>
        <w:t>患者有怀孕、妊娠、长期运动、外伤或强直性脊柱炎等病史。</w:t>
      </w:r>
      <w:r>
        <w:rPr>
          <w:rFonts w:hint="eastAsia" w:ascii="宋体" w:hAnsi="宋体" w:eastAsia="宋体" w:cs="宋体"/>
          <w:sz w:val="24"/>
          <w:szCs w:val="24"/>
          <w:lang w:val="en-US" w:eastAsia="zh-CN"/>
        </w:rPr>
        <w:t>在MR上</w:t>
      </w:r>
      <w:r>
        <w:rPr>
          <w:rFonts w:hint="eastAsia" w:ascii="宋体" w:hAnsi="宋体" w:eastAsia="宋体" w:cs="宋体"/>
          <w:b w:val="0"/>
          <w:bCs w:val="0"/>
          <w:sz w:val="24"/>
          <w:szCs w:val="24"/>
          <w:lang w:val="en-US" w:eastAsia="zh-CN"/>
        </w:rPr>
        <w:t>表现为</w:t>
      </w:r>
      <w:r>
        <w:rPr>
          <w:rFonts w:hint="eastAsia" w:ascii="宋体" w:hAnsi="宋体" w:eastAsia="宋体" w:cs="宋体"/>
          <w:sz w:val="24"/>
          <w:szCs w:val="24"/>
        </w:rPr>
        <w:t>耻骨联合间隙</w:t>
      </w:r>
      <w:r>
        <w:rPr>
          <w:rFonts w:hint="eastAsia" w:ascii="宋体" w:hAnsi="宋体" w:eastAsia="宋体" w:cs="宋体"/>
          <w:sz w:val="24"/>
          <w:szCs w:val="24"/>
          <w:lang w:eastAsia="zh-CN"/>
        </w:rPr>
        <w:t>、阶梯征、软骨下骨侵蚀、</w:t>
      </w:r>
      <w:r>
        <w:rPr>
          <w:rFonts w:hint="eastAsia" w:ascii="宋体" w:hAnsi="宋体" w:eastAsia="宋体" w:cs="宋体"/>
          <w:b w:val="0"/>
          <w:bCs w:val="0"/>
          <w:sz w:val="24"/>
          <w:szCs w:val="24"/>
          <w:lang w:val="en-US" w:eastAsia="zh-CN"/>
        </w:rPr>
        <w:t>软骨下骨骨髓水肿、耻骨联合关节间隙积液、纤维软骨盘水肿、内收肌群及肌腱损伤、关节周围软组织肿胀等</w:t>
      </w:r>
      <w:r>
        <w:rPr>
          <w:rFonts w:hint="eastAsia" w:ascii="宋体" w:hAnsi="宋体" w:eastAsia="宋体" w:cs="宋体"/>
          <w:sz w:val="24"/>
          <w:szCs w:val="24"/>
        </w:rPr>
        <w:t>。</w:t>
      </w:r>
      <w:r>
        <w:rPr>
          <w:rFonts w:hint="eastAsia" w:ascii="宋体" w:hAnsi="宋体" w:eastAsia="宋体" w:cs="宋体"/>
          <w:b/>
          <w:bCs/>
          <w:sz w:val="24"/>
          <w:szCs w:val="24"/>
        </w:rPr>
        <w:t>结论：</w:t>
      </w:r>
      <w:r>
        <w:rPr>
          <w:rFonts w:hint="eastAsia" w:ascii="宋体" w:hAnsi="宋体" w:eastAsia="宋体" w:cs="宋体"/>
          <w:b w:val="0"/>
          <w:bCs w:val="0"/>
          <w:sz w:val="24"/>
          <w:szCs w:val="24"/>
        </w:rPr>
        <w:t>耻骨联合骨炎</w:t>
      </w:r>
      <w:r>
        <w:rPr>
          <w:rFonts w:hint="eastAsia" w:ascii="宋体" w:hAnsi="宋体" w:eastAsia="宋体" w:cs="宋体"/>
          <w:b w:val="0"/>
          <w:bCs w:val="0"/>
          <w:sz w:val="24"/>
          <w:szCs w:val="24"/>
          <w:lang w:val="en-US" w:eastAsia="zh-CN"/>
        </w:rPr>
        <w:t>在MRI上有一定特征性表现，结合临床病史能够</w:t>
      </w:r>
      <w:r>
        <w:rPr>
          <w:rFonts w:hint="eastAsia" w:ascii="宋体" w:hAnsi="宋体" w:eastAsia="宋体" w:cs="宋体"/>
          <w:sz w:val="24"/>
          <w:szCs w:val="24"/>
        </w:rPr>
        <w:t>提高诊断正确率，减少误诊，改善预后。</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【关键词】耻骨联合；骨炎；磁共振成像</w:t>
      </w:r>
    </w:p>
    <w:p>
      <w:pPr>
        <w:keepNext w:val="0"/>
        <w:keepLines w:val="0"/>
        <w:pageBreakBefore w:val="0"/>
        <w:widowControl w:val="0"/>
        <w:kinsoku/>
        <w:wordWrap/>
        <w:overflowPunct/>
        <w:topLinePunct w:val="0"/>
        <w:autoSpaceDE/>
        <w:autoSpaceDN/>
        <w:bidi w:val="0"/>
        <w:adjustRightInd/>
        <w:snapToGrid w:val="0"/>
        <w:spacing w:after="0"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基金项目：湖北省卫生健康委员会基金资助项目（编号：WJ2019M050）</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jc w:val="center"/>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磁共振动态增强联合表观扩散系数在乳腺良恶性疾病鉴别中的价值</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敖锋</w:t>
      </w:r>
      <w:r>
        <w:rPr>
          <w:rFonts w:hint="eastAsia" w:ascii="宋体" w:hAnsi="宋体" w:eastAsia="宋体" w:cs="宋体"/>
          <w:sz w:val="24"/>
          <w:szCs w:val="24"/>
          <w:vertAlign w:val="superscript"/>
          <w:lang w:val="en-US" w:eastAsia="zh-CN"/>
        </w:rPr>
        <w:t>1，2,3,4</w:t>
      </w:r>
      <w:r>
        <w:rPr>
          <w:rFonts w:hint="eastAsia" w:ascii="宋体" w:hAnsi="宋体" w:eastAsia="宋体" w:cs="宋体"/>
          <w:sz w:val="24"/>
          <w:szCs w:val="24"/>
          <w:lang w:val="en-US" w:eastAsia="zh-CN"/>
        </w:rPr>
        <w:t xml:space="preserve"> 张自力</w:t>
      </w:r>
      <w:r>
        <w:rPr>
          <w:rFonts w:hint="eastAsia" w:ascii="宋体" w:hAnsi="宋体" w:eastAsia="宋体" w:cs="宋体"/>
          <w:sz w:val="24"/>
          <w:szCs w:val="24"/>
          <w:vertAlign w:val="superscript"/>
          <w:lang w:val="en-US" w:eastAsia="zh-CN"/>
        </w:rPr>
        <w:t>1，2,3</w:t>
      </w:r>
      <w:r>
        <w:rPr>
          <w:rFonts w:hint="eastAsia" w:ascii="宋体" w:hAnsi="宋体" w:eastAsia="宋体" w:cs="宋体"/>
          <w:sz w:val="24"/>
          <w:szCs w:val="24"/>
          <w:lang w:val="en-US" w:eastAsia="zh-CN"/>
        </w:rPr>
        <w:t xml:space="preserve"> 陈光斌</w:t>
      </w:r>
      <w:r>
        <w:rPr>
          <w:rFonts w:hint="eastAsia" w:ascii="宋体" w:hAnsi="宋体" w:eastAsia="宋体" w:cs="宋体"/>
          <w:sz w:val="24"/>
          <w:szCs w:val="24"/>
          <w:vertAlign w:val="superscript"/>
          <w:lang w:val="en-US" w:eastAsia="zh-CN"/>
        </w:rPr>
        <w:t>1，2,3</w:t>
      </w:r>
      <w:r>
        <w:rPr>
          <w:rFonts w:hint="eastAsia" w:ascii="宋体" w:hAnsi="宋体" w:eastAsia="宋体" w:cs="宋体"/>
          <w:sz w:val="24"/>
          <w:szCs w:val="24"/>
          <w:lang w:val="en-US" w:eastAsia="zh-CN"/>
        </w:rPr>
        <w:t xml:space="preserve"> 冯坤</w:t>
      </w:r>
      <w:r>
        <w:rPr>
          <w:rFonts w:hint="eastAsia" w:ascii="宋体" w:hAnsi="宋体" w:eastAsia="宋体" w:cs="宋体"/>
          <w:sz w:val="24"/>
          <w:szCs w:val="24"/>
          <w:vertAlign w:val="superscript"/>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(1十堰市人民医院放射影像中心 2十堰市人民医院放射影像研究所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3湖北医药学院生工学院 4湖北医药学院第三临床学院 湖北十堰 442000）</w:t>
      </w:r>
    </w:p>
    <w:p>
      <w:pPr>
        <w:spacing w:line="360" w:lineRule="auto"/>
        <w:jc w:val="left"/>
        <w:rPr>
          <w:rFonts w:hint="eastAsia" w:ascii="宋体" w:hAnsi="宋体" w:eastAsia="宋体" w:cs="宋体"/>
          <w:sz w:val="21"/>
          <w:szCs w:val="21"/>
        </w:rPr>
      </w:pPr>
      <w:r>
        <w:rPr>
          <w:rFonts w:hint="eastAsia" w:ascii="宋体" w:hAnsi="宋体" w:eastAsia="宋体" w:cs="宋体"/>
          <w:sz w:val="21"/>
          <w:szCs w:val="21"/>
        </w:rPr>
        <w:t>第一作者简介：敖锋（1984年-），男，湖北十堰人，主治医师，硕士生</w:t>
      </w:r>
      <w:r>
        <w:rPr>
          <w:rFonts w:hint="eastAsia" w:ascii="宋体" w:hAnsi="宋体" w:eastAsia="宋体" w:cs="宋体"/>
          <w:sz w:val="21"/>
          <w:szCs w:val="21"/>
          <w:lang w:val="en-US" w:eastAsia="zh-CN"/>
        </w:rPr>
        <w:t>导师</w:t>
      </w:r>
      <w:r>
        <w:rPr>
          <w:rFonts w:hint="eastAsia" w:ascii="宋体" w:hAnsi="宋体" w:eastAsia="宋体" w:cs="宋体"/>
          <w:sz w:val="21"/>
          <w:szCs w:val="21"/>
        </w:rPr>
        <w:t>，研究方向：多模态MRI成像</w:t>
      </w:r>
      <w:r>
        <w:rPr>
          <w:rFonts w:hint="eastAsia" w:ascii="宋体" w:hAnsi="宋体" w:eastAsia="宋体" w:cs="宋体"/>
          <w:sz w:val="21"/>
          <w:szCs w:val="21"/>
          <w:lang w:val="en-US" w:eastAsia="zh-CN"/>
        </w:rPr>
        <w:t>技术</w:t>
      </w:r>
      <w:r>
        <w:rPr>
          <w:rFonts w:hint="eastAsia" w:ascii="宋体" w:hAnsi="宋体" w:eastAsia="宋体" w:cs="宋体"/>
          <w:sz w:val="21"/>
          <w:szCs w:val="21"/>
        </w:rPr>
        <w:t>；E-mail：aofeng19841112@163.com；手机：13227616658</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摘要：目的</w:t>
      </w:r>
      <w:r>
        <w:rPr>
          <w:rFonts w:hint="eastAsia" w:ascii="宋体" w:hAnsi="宋体" w:eastAsia="宋体" w:cs="宋体"/>
          <w:sz w:val="24"/>
          <w:szCs w:val="24"/>
          <w:lang w:val="en-US" w:eastAsia="zh-CN"/>
        </w:rPr>
        <w:t xml:space="preserve"> 探讨磁共振动态增强成像中的动态增强时间信号强度曲线(TIC)类型、第一期强化率、同侧血管数目及血供评分及扩散成像的表观扩散系数(ADC)</w:t>
      </w:r>
      <w:r>
        <w:rPr>
          <w:rFonts w:hint="eastAsia" w:ascii="宋体" w:hAnsi="宋体" w:eastAsia="宋体" w:cs="宋体"/>
          <w:color w:val="000000"/>
          <w:kern w:val="0"/>
          <w:sz w:val="24"/>
          <w:szCs w:val="24"/>
          <w:lang w:val="en-US" w:eastAsia="zh-CN" w:bidi="ar"/>
        </w:rPr>
        <w:t>全容积</w:t>
      </w:r>
      <w:r>
        <w:rPr>
          <w:rFonts w:hint="eastAsia" w:ascii="宋体" w:hAnsi="宋体" w:eastAsia="宋体" w:cs="宋体"/>
          <w:sz w:val="24"/>
          <w:szCs w:val="24"/>
          <w:lang w:val="en-US" w:eastAsia="zh-CN"/>
        </w:rPr>
        <w:t>直方图及其四者联合在乳腺良、恶性病变鉴别诊断中的价值。</w:t>
      </w:r>
      <w:r>
        <w:rPr>
          <w:rFonts w:hint="eastAsia" w:ascii="宋体" w:hAnsi="宋体" w:eastAsia="宋体" w:cs="宋体"/>
          <w:b/>
          <w:bCs/>
          <w:sz w:val="24"/>
          <w:szCs w:val="24"/>
          <w:lang w:val="en-US" w:eastAsia="zh-CN"/>
        </w:rPr>
        <w:t>方法</w:t>
      </w:r>
      <w:r>
        <w:rPr>
          <w:rFonts w:hint="eastAsia" w:ascii="宋体" w:hAnsi="宋体" w:eastAsia="宋体" w:cs="宋体"/>
          <w:sz w:val="24"/>
          <w:szCs w:val="24"/>
          <w:lang w:val="en-US" w:eastAsia="zh-CN"/>
        </w:rPr>
        <w:t xml:space="preserve"> 回顾性分析2018年1月至2020年10月在十堰市人民医院/湖北医药学院附属人民医院放射影像中心行乳腺MRI检查且术后经病理确诊的乳腺病变患者168例（177个病变）临床病理影像资料，依据病理分为良、恶性病变组。比较乳腺良、恶性病变间的TIC类型、第一期强化率、同侧血管数目及血供评分有无差异；并比较两组间</w:t>
      </w:r>
      <w:r>
        <w:rPr>
          <w:rFonts w:hint="eastAsia" w:ascii="宋体" w:hAnsi="宋体" w:eastAsia="宋体" w:cs="宋体"/>
          <w:color w:val="000000"/>
          <w:kern w:val="0"/>
          <w:sz w:val="24"/>
          <w:szCs w:val="24"/>
          <w:lang w:val="en-US" w:eastAsia="zh-CN" w:bidi="ar"/>
        </w:rPr>
        <w:t>ADC全容积直方图参数（均值、方差、第１、10、50、90、99分位数）</w:t>
      </w:r>
      <w:r>
        <w:rPr>
          <w:rFonts w:hint="eastAsia" w:ascii="宋体" w:hAnsi="宋体" w:eastAsia="宋体" w:cs="宋体"/>
          <w:sz w:val="24"/>
          <w:szCs w:val="24"/>
          <w:lang w:val="en-US" w:eastAsia="zh-CN"/>
        </w:rPr>
        <w:t>的差异性。</w:t>
      </w:r>
      <w:r>
        <w:rPr>
          <w:rFonts w:hint="eastAsia" w:ascii="宋体" w:hAnsi="宋体" w:eastAsia="宋体" w:cs="宋体"/>
          <w:sz w:val="24"/>
          <w:szCs w:val="24"/>
          <w:lang w:eastAsia="zh-CN"/>
        </w:rPr>
        <w:t>绘制</w:t>
      </w:r>
      <w:r>
        <w:rPr>
          <w:rFonts w:hint="eastAsia" w:ascii="宋体" w:hAnsi="宋体" w:eastAsia="宋体" w:cs="宋体"/>
          <w:sz w:val="24"/>
          <w:szCs w:val="24"/>
          <w:lang w:val="en-US" w:eastAsia="zh-CN"/>
        </w:rPr>
        <w:t>ROC</w:t>
      </w:r>
      <w:r>
        <w:rPr>
          <w:rFonts w:hint="eastAsia" w:ascii="宋体" w:hAnsi="宋体" w:eastAsia="宋体" w:cs="宋体"/>
          <w:sz w:val="24"/>
          <w:szCs w:val="24"/>
          <w:lang w:eastAsia="zh-CN"/>
        </w:rPr>
        <w:t>曲线，评估</w:t>
      </w:r>
      <w:r>
        <w:rPr>
          <w:rFonts w:hint="eastAsia" w:ascii="宋体" w:hAnsi="宋体" w:eastAsia="宋体" w:cs="宋体"/>
          <w:sz w:val="24"/>
          <w:szCs w:val="24"/>
          <w:lang w:val="en-US" w:eastAsia="zh-CN"/>
        </w:rPr>
        <w:t>上述</w:t>
      </w:r>
      <w:r>
        <w:rPr>
          <w:rFonts w:hint="eastAsia" w:ascii="宋体" w:hAnsi="宋体" w:eastAsia="宋体" w:cs="宋体"/>
          <w:sz w:val="24"/>
          <w:szCs w:val="24"/>
          <w:lang w:eastAsia="zh-CN"/>
        </w:rPr>
        <w:t>各参数鉴别乳腺良、恶性病变的效能。</w:t>
      </w:r>
      <w:r>
        <w:rPr>
          <w:rFonts w:hint="eastAsia" w:ascii="宋体" w:hAnsi="宋体" w:eastAsia="宋体" w:cs="宋体"/>
          <w:b/>
          <w:bCs/>
          <w:sz w:val="24"/>
          <w:szCs w:val="24"/>
          <w:lang w:val="en-US" w:eastAsia="zh-CN"/>
        </w:rPr>
        <w:t>结果</w:t>
      </w:r>
      <w:r>
        <w:rPr>
          <w:rFonts w:hint="eastAsia" w:ascii="宋体" w:hAnsi="宋体" w:eastAsia="宋体" w:cs="宋体"/>
          <w:sz w:val="24"/>
          <w:szCs w:val="24"/>
          <w:lang w:val="en-US" w:eastAsia="zh-CN"/>
        </w:rPr>
        <w:t xml:space="preserve"> 177个病灶中良性病变43个病灶，恶性病变134个病灶。乳腺良、恶性病变的TIC类型、第一期强化率、同侧血管数目及血供评分类型差异具有统计学意义(P＜0.05)。</w:t>
      </w:r>
      <w:r>
        <w:rPr>
          <w:rFonts w:hint="eastAsia" w:ascii="宋体" w:hAnsi="宋体" w:eastAsia="宋体" w:cs="宋体"/>
          <w:color w:val="000000"/>
          <w:kern w:val="0"/>
          <w:sz w:val="24"/>
          <w:szCs w:val="24"/>
          <w:lang w:val="en-US" w:eastAsia="zh-CN" w:bidi="ar"/>
        </w:rPr>
        <w:t>以Ⅲ型流出型曲线作为乳腺恶性病变的诊断标准，其诊断敏感性为76.9%，特异性为80%，正确率为72.2%，其曲线下面积（AUC）为0.823。以强化率＞100%为乳腺恶性病变的诊断标准，其诊断乳腺恶性病变的敏感性为61.5%，特异性为80%，曲线下面积为0.723。以同侧血管数目3支以上作为乳腺恶性病变的诊断标准，其诊断敏感性为81.6%，特异性为80.8%，其曲线下面积为0.805。恶性病变组ADC全容积直方图参数均值、方差、第１、10、50、90、99分位数均明显低于良性病变组（Ｐ＜0.05）。均值、第50百分位数鉴别诊断乳腺良、恶性病变的AUC分别为0.863、0.87，敏感度分别为88.9％、82.6，特异度分别为83.5％、82％。</w:t>
      </w:r>
      <w:r>
        <w:rPr>
          <w:rFonts w:hint="eastAsia" w:ascii="宋体" w:hAnsi="宋体" w:eastAsia="宋体" w:cs="宋体"/>
          <w:b/>
          <w:bCs/>
          <w:sz w:val="24"/>
          <w:szCs w:val="24"/>
          <w:lang w:val="en-US" w:eastAsia="zh-CN"/>
        </w:rPr>
        <w:t xml:space="preserve">结论 </w:t>
      </w:r>
      <w:r>
        <w:rPr>
          <w:rFonts w:hint="eastAsia" w:ascii="宋体" w:hAnsi="宋体" w:eastAsia="宋体" w:cs="宋体"/>
          <w:sz w:val="24"/>
          <w:szCs w:val="24"/>
          <w:lang w:eastAsia="zh-CN"/>
        </w:rPr>
        <w:t>动态增强成像中的TIC曲线类型、第一期强化率、</w:t>
      </w:r>
      <w:r>
        <w:rPr>
          <w:rFonts w:hint="eastAsia" w:ascii="宋体" w:hAnsi="宋体" w:eastAsia="宋体" w:cs="宋体"/>
          <w:sz w:val="24"/>
          <w:szCs w:val="24"/>
          <w:lang w:val="en-US" w:eastAsia="zh-CN"/>
        </w:rPr>
        <w:t>同侧血管数目及血供评分</w:t>
      </w:r>
      <w:r>
        <w:rPr>
          <w:rFonts w:hint="eastAsia" w:ascii="宋体" w:hAnsi="宋体" w:eastAsia="宋体" w:cs="宋体"/>
          <w:sz w:val="24"/>
          <w:szCs w:val="24"/>
          <w:lang w:eastAsia="zh-CN"/>
        </w:rPr>
        <w:t>与扩散加权成像的</w:t>
      </w:r>
      <w:r>
        <w:rPr>
          <w:rFonts w:hint="eastAsia" w:ascii="宋体" w:hAnsi="宋体" w:eastAsia="宋体" w:cs="宋体"/>
          <w:color w:val="000000"/>
          <w:kern w:val="0"/>
          <w:sz w:val="24"/>
          <w:szCs w:val="24"/>
          <w:lang w:val="en-US" w:eastAsia="zh-CN" w:bidi="ar"/>
        </w:rPr>
        <w:t>ADC全容积直方图参数</w:t>
      </w: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者联合，对乳腺良、恶性病变的鉴别诊断具有较好的价值。</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关键词：</w:t>
      </w:r>
      <w:r>
        <w:rPr>
          <w:rFonts w:hint="eastAsia" w:ascii="宋体" w:hAnsi="宋体" w:eastAsia="宋体" w:cs="宋体"/>
          <w:b w:val="0"/>
          <w:bCs w:val="0"/>
          <w:sz w:val="24"/>
          <w:szCs w:val="24"/>
          <w:lang w:val="en-US" w:eastAsia="zh-CN"/>
        </w:rPr>
        <w:t>乳腺疾病；动态增强；扩散加权成像；磁共振成像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基金项目：本课题受2021年度十堰市科学技术研究与开发一般项目（2021K66）、湖北医药学院2021年大学生创新创业训练计划项目、湖北医药学院2021年学科建设经费项目资助</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jc w:val="center"/>
        <w:rPr>
          <w:rFonts w:hint="eastAsia" w:ascii="宋体" w:hAnsi="宋体" w:eastAsia="宋体" w:cs="宋体"/>
          <w:b/>
          <w:sz w:val="24"/>
          <w:szCs w:val="24"/>
        </w:rPr>
      </w:pPr>
      <w:r>
        <w:rPr>
          <w:rFonts w:hint="eastAsia" w:ascii="宋体" w:hAnsi="宋体" w:eastAsia="宋体" w:cs="宋体"/>
          <w:b/>
          <w:sz w:val="24"/>
          <w:szCs w:val="24"/>
        </w:rPr>
        <w:t>神经源性膀胱的临床分型及影像学分析</w:t>
      </w:r>
    </w:p>
    <w:p>
      <w:pPr>
        <w:jc w:val="center"/>
        <w:rPr>
          <w:rFonts w:hint="eastAsia" w:ascii="宋体" w:hAnsi="宋体" w:eastAsia="宋体" w:cs="宋体"/>
          <w:sz w:val="24"/>
          <w:szCs w:val="24"/>
        </w:rPr>
      </w:pPr>
      <w:r>
        <w:rPr>
          <w:rFonts w:hint="eastAsia" w:ascii="宋体" w:hAnsi="宋体" w:eastAsia="宋体" w:cs="宋体"/>
          <w:sz w:val="24"/>
          <w:szCs w:val="24"/>
        </w:rPr>
        <w:t>湖北恩施市中心医院放射科 廖锋</w:t>
      </w:r>
    </w:p>
    <w:p>
      <w:pPr>
        <w:jc w:val="center"/>
        <w:rPr>
          <w:rFonts w:hint="eastAsia" w:ascii="宋体" w:hAnsi="宋体" w:eastAsia="宋体" w:cs="宋体"/>
          <w:sz w:val="24"/>
          <w:szCs w:val="24"/>
        </w:rPr>
      </w:pPr>
      <w:r>
        <w:rPr>
          <w:rFonts w:hint="eastAsia" w:ascii="宋体" w:hAnsi="宋体" w:eastAsia="宋体" w:cs="宋体"/>
          <w:sz w:val="24"/>
          <w:szCs w:val="24"/>
        </w:rPr>
        <w:t>电话：13329823120</w:t>
      </w:r>
    </w:p>
    <w:p>
      <w:p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 xml:space="preserve">摘要：目的探讨神经源性膀胱临床及影像表现特征,提高对本病认识,以达到对本病的准确诊断及分型。方法收集了我院35例被临床确诊为神经源性膀胱患者进行回顾性分析总结。结果表现为膀胱增大30例,膀胱多发憩室25例,膀胱局限性增厚并结节状突起7例,膀胱结石5例,输尿管及肾积水15例。结论神经源性膀胱的主要继发因素是先天发育不良、外伤、手术损伤、糖尿病等,其诊断主要靠典型的影像学表现和神经定位以及尿动力学检查。 </w:t>
      </w:r>
    </w:p>
    <w:p>
      <w:pPr>
        <w:spacing w:line="360" w:lineRule="auto"/>
        <w:rPr>
          <w:rFonts w:hint="eastAsia" w:ascii="宋体" w:hAnsi="宋体" w:eastAsia="宋体" w:cs="宋体"/>
          <w:sz w:val="24"/>
          <w:szCs w:val="24"/>
        </w:rPr>
      </w:pPr>
      <w:r>
        <w:rPr>
          <w:rFonts w:hint="eastAsia" w:ascii="宋体" w:hAnsi="宋体" w:eastAsia="宋体" w:cs="宋体"/>
          <w:b w:val="0"/>
          <w:bCs/>
          <w:sz w:val="24"/>
          <w:szCs w:val="24"/>
        </w:rPr>
        <w:t>关键词：</w:t>
      </w:r>
      <w:r>
        <w:rPr>
          <w:rFonts w:hint="eastAsia" w:ascii="宋体" w:hAnsi="宋体" w:eastAsia="宋体" w:cs="宋体"/>
          <w:b w:val="0"/>
          <w:bCs/>
          <w:sz w:val="24"/>
          <w:szCs w:val="24"/>
        </w:rPr>
        <w:tab/>
      </w:r>
      <w:r>
        <w:rPr>
          <w:rFonts w:hint="eastAsia" w:ascii="宋体" w:hAnsi="宋体" w:eastAsia="宋体" w:cs="宋体"/>
          <w:b w:val="0"/>
          <w:bCs/>
          <w:sz w:val="24"/>
          <w:szCs w:val="24"/>
        </w:rPr>
        <w:t xml:space="preserve">膀胱;神经源性;分型;影像; </w:t>
      </w:r>
      <w:r>
        <w:rPr>
          <w:rFonts w:hint="eastAsia" w:ascii="宋体" w:hAnsi="宋体" w:eastAsia="宋体" w:cs="宋体"/>
          <w:sz w:val="24"/>
          <w:szCs w:val="24"/>
        </w:rPr>
        <w:t xml:space="preserve">  </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Abstract: Objective To investigate the clinical and imaging characteristics of neurogenic bladder, and to improve the understanding of the disease, so as to achieve accurate diagnosis and classification of the disease. Methods A retrospective analysis and summary of 35 patients with neurogenic bladder in our hospital were collected. The results showed that there were 30 cases of bladder enlargement, 25 cases of bladder multiple diverticula, 7 cases of localized bladder thickening and nodular protrusion, 5 cases of bladder stones, 15 cases of ureteral and hydronephrosis. Conclusion The main secondary factors of neurogenic bladder are congenital dysplasia, trauma, surgical injury, diabetes, etc. The diagnosis is mainly based on typical imaging findings, nerve localization and urodynamic examination.</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Keywords: bladder; neurogenic; classification; imaging;</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jc w:val="center"/>
        <w:rPr>
          <w:rFonts w:hint="eastAsia" w:ascii="宋体" w:hAnsi="宋体" w:eastAsia="宋体" w:cs="宋体"/>
          <w:b/>
          <w:sz w:val="24"/>
          <w:szCs w:val="24"/>
        </w:rPr>
      </w:pPr>
      <w:r>
        <w:rPr>
          <w:rFonts w:hint="eastAsia" w:ascii="宋体" w:hAnsi="宋体" w:eastAsia="宋体" w:cs="宋体"/>
          <w:b/>
          <w:sz w:val="24"/>
          <w:szCs w:val="24"/>
        </w:rPr>
        <w:t>DWI联合SWI序列对弥漫性轴索损伤的诊断价值</w:t>
      </w:r>
    </w:p>
    <w:p>
      <w:pPr>
        <w:jc w:val="center"/>
        <w:rPr>
          <w:rFonts w:hint="eastAsia" w:ascii="宋体" w:hAnsi="宋体" w:eastAsia="宋体" w:cs="宋体"/>
          <w:sz w:val="24"/>
          <w:szCs w:val="24"/>
        </w:rPr>
      </w:pPr>
      <w:r>
        <w:rPr>
          <w:rFonts w:hint="eastAsia" w:ascii="宋体" w:hAnsi="宋体" w:eastAsia="宋体" w:cs="宋体"/>
          <w:sz w:val="24"/>
          <w:szCs w:val="24"/>
        </w:rPr>
        <w:t>湖北恩施市中心医院放射科 廖礼强</w:t>
      </w:r>
    </w:p>
    <w:p>
      <w:pPr>
        <w:jc w:val="center"/>
        <w:rPr>
          <w:rFonts w:hint="eastAsia" w:ascii="宋体" w:hAnsi="宋体" w:eastAsia="宋体" w:cs="宋体"/>
          <w:sz w:val="24"/>
          <w:szCs w:val="24"/>
        </w:rPr>
      </w:pPr>
      <w:r>
        <w:rPr>
          <w:rFonts w:hint="eastAsia" w:ascii="宋体" w:hAnsi="宋体" w:eastAsia="宋体" w:cs="宋体"/>
          <w:sz w:val="24"/>
          <w:szCs w:val="24"/>
        </w:rPr>
        <w:t>电话：18972448176</w:t>
      </w:r>
    </w:p>
    <w:p>
      <w:pPr>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【摘要】：目的: 目的探讨弥散加权成像(DWI)联合磁敏感加权成像(SWI)对弥漫性轴索损伤(DAI)病灶的检出及在预后评估中的价值。材料与方法:对22例临床确诊为DAI的脑外伤患者,其中男9例,女13例,年龄17-64岁,均匀32.8岁。22例DAI患者均为车祸伤,格拉斯哥评分(GCS)为3～5分者10例,6～8分者5例,9～12分者7例。采用西门子 Avanto1.5T超导型磁共振扫描仪,采用头部八通道线圈,行自旋回波(SE)横断T1WI及矢状T1WI，快速自旋回波(FSE) 横断T2WI，DWI及SWI序列扫描。比较MR各序列对DAI病灶的检出数,多因素Logistic回归分析DWI联合SWI在DAI患者预后评估中的价值。 结果： DAI病灶主要分布在白质、皮髓交界区、基底节、胼胝体、脑干及小脑等区域。对大的脑挫裂伤及血肿，各序列均能够清楚显示。DWI和SWI脑内DAI病灶平均检出数分别为(19.24±5.72)个、(23.24±5.72)个,两者之间有统计学差异(P≤0.05),与MR常规序列比较均有统计学差异(P0.05)。DWI对非出血性病灶最为敏感,SWI对出血性病灶最为敏感,但两者检出病灶部分存在损伤部位和病理性质的重叠。结论： DWI和SWI序列联合应用能够明显提高DAI病灶的检出率，减少假阴性，应作为MRI检查DAI的常规和首选序列。</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【Abstract】 Objective: To investigate the value of diffusion-weighted imaging (DWI) combined with magnetic sensitive weighted imaging (SWI) in the detection of diffuse axonal injury (DAI) and its prognostic value. Materials and Methods: Twenty-two patients with traumatic brain injury diagnosed as DAI were enrolled, including 9 males and 13 females, aged 17-64 years, and evenly 32.8 years old. Twenty-two patients with DAI were car accidents, Glasgow score (GCS) was 3 to 5 points in 10 cases, 6 to 8 points in 5 cases, and 9 to 12 points in 7 cases. The Siemens Avanto 1.5T superconducting magnetic resonance scanner was used, and the head eight-channel coil was used. The spin echo (SE) transected T1WI and the sagittal T1WI, the fast spin echo (FSE) transected T2WI, the DWI and the SWI sequence scan. The number of DAI lesions detected by MR sequences was compared. The multivariate logistic regression analysis was used to analyze the value of DWI combined with SWI in the prognosis evaluation of patients with DAI. Results: DAI lesions were mainly distributed in the white matter, the border of the skin and the skin, the basal ganglia, the corpus callosum, the brainstem and the cerebellum. For large brain contusion and hematoma, each sequence can be clearly displayed. The average number of DAI lesions in DWI and SWI were (19.24±5.72) and (23.24±5.72), respectively. There was a statistical difference between the two (P≤0.05). Difference (P&lt;0.05). DWI is most sensitive to non-hemorrhagic lesions, and SWI is most sensitive to hemorrhagic lesions, but there is overlap between lesions and pathological features in both lesions. Conclusion: The combination of DWI and SWI sequences can significantly improve the detection rate of DAI lesions and reduce false negatives. It should be used as the routine and preferred sequence for MRI examination of DAI.</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jc w:val="center"/>
        <w:rPr>
          <w:rFonts w:hint="eastAsia" w:ascii="宋体" w:hAnsi="宋体" w:eastAsia="宋体" w:cs="宋体"/>
          <w:b/>
          <w:sz w:val="24"/>
          <w:szCs w:val="24"/>
        </w:rPr>
      </w:pPr>
      <w:r>
        <w:rPr>
          <w:rFonts w:hint="eastAsia" w:ascii="宋体" w:hAnsi="宋体" w:eastAsia="宋体" w:cs="宋体"/>
          <w:b/>
          <w:sz w:val="24"/>
          <w:szCs w:val="24"/>
        </w:rPr>
        <w:t>弥散张量成像在</w:t>
      </w:r>
      <w:r>
        <w:rPr>
          <w:rFonts w:hint="eastAsia" w:ascii="宋体" w:hAnsi="宋体" w:eastAsia="宋体" w:cs="宋体"/>
          <w:b/>
          <w:sz w:val="24"/>
          <w:szCs w:val="24"/>
          <w:lang w:eastAsia="zh-CN"/>
        </w:rPr>
        <w:t>额叶</w:t>
      </w:r>
      <w:r>
        <w:rPr>
          <w:rFonts w:hint="eastAsia" w:ascii="宋体" w:hAnsi="宋体" w:eastAsia="宋体" w:cs="宋体"/>
          <w:b/>
          <w:sz w:val="24"/>
          <w:szCs w:val="24"/>
        </w:rPr>
        <w:t>脑肿瘤累白质纤维束</w:t>
      </w:r>
      <w:r>
        <w:rPr>
          <w:rFonts w:hint="eastAsia" w:ascii="宋体" w:hAnsi="宋体" w:eastAsia="宋体" w:cs="宋体"/>
          <w:b/>
          <w:sz w:val="24"/>
          <w:szCs w:val="24"/>
          <w:lang w:eastAsia="zh-CN"/>
        </w:rPr>
        <w:t>损害评估中的应用</w:t>
      </w:r>
    </w:p>
    <w:p>
      <w:pPr>
        <w:jc w:val="center"/>
        <w:rPr>
          <w:rFonts w:hint="eastAsia" w:ascii="宋体" w:hAnsi="宋体" w:eastAsia="宋体" w:cs="宋体"/>
          <w:sz w:val="24"/>
          <w:szCs w:val="24"/>
        </w:rPr>
      </w:pPr>
      <w:r>
        <w:rPr>
          <w:rFonts w:hint="eastAsia" w:ascii="宋体" w:hAnsi="宋体" w:eastAsia="宋体" w:cs="宋体"/>
          <w:sz w:val="24"/>
          <w:szCs w:val="24"/>
        </w:rPr>
        <w:t>湖北恩施市中心医院放射科 申旭东</w:t>
      </w:r>
    </w:p>
    <w:p>
      <w:pPr>
        <w:jc w:val="center"/>
        <w:rPr>
          <w:rFonts w:hint="eastAsia" w:ascii="宋体" w:hAnsi="宋体" w:eastAsia="宋体" w:cs="宋体"/>
          <w:sz w:val="24"/>
          <w:szCs w:val="24"/>
        </w:rPr>
      </w:pPr>
      <w:r>
        <w:rPr>
          <w:rFonts w:hint="eastAsia" w:ascii="宋体" w:hAnsi="宋体" w:eastAsia="宋体" w:cs="宋体"/>
          <w:sz w:val="24"/>
          <w:szCs w:val="24"/>
        </w:rPr>
        <w:t>邮箱：</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"mailto:249259902@qq.com" </w:instrText>
      </w:r>
      <w:r>
        <w:rPr>
          <w:rFonts w:hint="eastAsia" w:ascii="宋体" w:hAnsi="宋体" w:eastAsia="宋体" w:cs="宋体"/>
          <w:sz w:val="24"/>
          <w:szCs w:val="24"/>
        </w:rPr>
        <w:fldChar w:fldCharType="separate"/>
      </w:r>
      <w:r>
        <w:rPr>
          <w:rStyle w:val="16"/>
          <w:rFonts w:hint="eastAsia" w:ascii="宋体" w:hAnsi="宋体" w:eastAsia="宋体" w:cs="宋体"/>
          <w:sz w:val="24"/>
          <w:szCs w:val="24"/>
        </w:rPr>
        <w:t>249259902@qq.com</w:t>
      </w:r>
      <w:r>
        <w:rPr>
          <w:rFonts w:hint="eastAsia" w:ascii="宋体" w:hAnsi="宋体" w:eastAsia="宋体" w:cs="宋体"/>
          <w:sz w:val="24"/>
          <w:szCs w:val="24"/>
        </w:rPr>
        <w:fldChar w:fldCharType="end"/>
      </w:r>
    </w:p>
    <w:p>
      <w:pPr>
        <w:jc w:val="center"/>
        <w:rPr>
          <w:rFonts w:hint="eastAsia" w:ascii="宋体" w:hAnsi="宋体" w:eastAsia="宋体" w:cs="宋体"/>
          <w:sz w:val="24"/>
          <w:szCs w:val="24"/>
        </w:rPr>
      </w:pPr>
      <w:r>
        <w:rPr>
          <w:rFonts w:hint="eastAsia" w:ascii="宋体" w:hAnsi="宋体" w:eastAsia="宋体" w:cs="宋体"/>
          <w:sz w:val="24"/>
          <w:szCs w:val="24"/>
        </w:rPr>
        <w:t>电话：13227423577</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b/>
          <w:sz w:val="24"/>
          <w:szCs w:val="24"/>
        </w:rPr>
        <w:t>目的：</w:t>
      </w:r>
      <w:r>
        <w:rPr>
          <w:rFonts w:hint="eastAsia" w:ascii="宋体" w:hAnsi="宋体" w:eastAsia="宋体" w:cs="宋体"/>
          <w:sz w:val="24"/>
          <w:szCs w:val="24"/>
        </w:rPr>
        <w:t>本研究比较了弥散张量磁共振成像（Diffusion Tensor Tractography, DTT）</w:t>
      </w:r>
      <w:r>
        <w:rPr>
          <w:rFonts w:hint="eastAsia" w:ascii="宋体" w:hAnsi="宋体" w:eastAsia="宋体" w:cs="宋体"/>
          <w:sz w:val="24"/>
          <w:szCs w:val="24"/>
          <w:lang w:eastAsia="zh-CN"/>
        </w:rPr>
        <w:t>在额叶脑肿瘤白质纤维束中的应用</w:t>
      </w:r>
      <w:r>
        <w:rPr>
          <w:rFonts w:hint="eastAsia" w:ascii="宋体" w:hAnsi="宋体" w:eastAsia="宋体" w:cs="宋体"/>
          <w:sz w:val="24"/>
          <w:szCs w:val="24"/>
        </w:rPr>
        <w:t>，以</w:t>
      </w:r>
      <w:r>
        <w:rPr>
          <w:rFonts w:hint="eastAsia" w:ascii="宋体" w:hAnsi="宋体" w:eastAsia="宋体" w:cs="宋体"/>
          <w:sz w:val="24"/>
          <w:szCs w:val="24"/>
          <w:lang w:eastAsia="zh-CN"/>
        </w:rPr>
        <w:t>评估肿瘤对白质纤维束的损害程度并指导手术治疗</w:t>
      </w:r>
      <w:r>
        <w:rPr>
          <w:rFonts w:hint="eastAsia" w:ascii="宋体" w:hAnsi="宋体" w:eastAsia="宋体" w:cs="宋体"/>
          <w:sz w:val="24"/>
          <w:szCs w:val="24"/>
        </w:rPr>
        <w:t>。</w:t>
      </w:r>
      <w:r>
        <w:rPr>
          <w:rFonts w:hint="eastAsia" w:ascii="宋体" w:hAnsi="宋体" w:eastAsia="宋体" w:cs="宋体"/>
          <w:b/>
          <w:sz w:val="24"/>
          <w:szCs w:val="24"/>
        </w:rPr>
        <w:t>方法</w:t>
      </w:r>
      <w:r>
        <w:rPr>
          <w:rFonts w:hint="eastAsia" w:ascii="宋体" w:hAnsi="宋体" w:eastAsia="宋体" w:cs="宋体"/>
          <w:sz w:val="24"/>
          <w:szCs w:val="24"/>
        </w:rPr>
        <w:t>：招募了58名患有完全运动无力患者的患者。 DTT在</w:t>
      </w:r>
      <w:r>
        <w:rPr>
          <w:rFonts w:hint="eastAsia" w:ascii="宋体" w:hAnsi="宋体" w:eastAsia="宋体" w:cs="宋体"/>
          <w:sz w:val="24"/>
          <w:szCs w:val="24"/>
          <w:lang w:eastAsia="zh-CN"/>
        </w:rPr>
        <w:t>肿瘤发现的</w:t>
      </w:r>
      <w:r>
        <w:rPr>
          <w:rFonts w:hint="eastAsia" w:ascii="宋体" w:hAnsi="宋体" w:eastAsia="宋体" w:cs="宋体"/>
          <w:sz w:val="24"/>
          <w:szCs w:val="24"/>
        </w:rPr>
        <w:t>早期阶段（7-28天）进行。显示 部分各 向异性FA图 、方向编码彩色 (directionallyencodedcolor，DEC)图，分别测量锥体束及胼胝体患侧与健侧相应位置的FA值及表观弥散系数 (apparentdiffusioncoeficient，ADC)值 ，用配对t检验进行比较 ，重建锥体束与胼胝体纤维手术后再次行 DTI检查。纤维束与肿瘤的关系分为 3型 ：I型</w:t>
      </w:r>
      <w:r>
        <w:rPr>
          <w:rFonts w:hint="eastAsia" w:ascii="宋体" w:hAnsi="宋体" w:eastAsia="宋体" w:cs="宋体"/>
          <w:sz w:val="24"/>
          <w:szCs w:val="24"/>
          <w:lang w:eastAsia="zh-CN"/>
        </w:rPr>
        <w:t>，</w:t>
      </w:r>
      <w:r>
        <w:rPr>
          <w:rFonts w:hint="eastAsia" w:ascii="宋体" w:hAnsi="宋体" w:eastAsia="宋体" w:cs="宋体"/>
          <w:sz w:val="24"/>
          <w:szCs w:val="24"/>
        </w:rPr>
        <w:t>纤维束仅有移位；11型</w:t>
      </w:r>
      <w:r>
        <w:rPr>
          <w:rFonts w:hint="eastAsia" w:ascii="宋体" w:hAnsi="宋体" w:eastAsia="宋体" w:cs="宋体"/>
          <w:sz w:val="24"/>
          <w:szCs w:val="24"/>
          <w:lang w:eastAsia="zh-CN"/>
        </w:rPr>
        <w:t>，</w:t>
      </w:r>
      <w:r>
        <w:rPr>
          <w:rFonts w:hint="eastAsia" w:ascii="宋体" w:hAnsi="宋体" w:eastAsia="宋体" w:cs="宋体"/>
          <w:sz w:val="24"/>
          <w:szCs w:val="24"/>
        </w:rPr>
        <w:t>纤维束移位伴侵润破坏；llI型，纤维束仅有侵润破坏。</w:t>
      </w:r>
      <w:r>
        <w:rPr>
          <w:rFonts w:hint="eastAsia" w:ascii="宋体" w:hAnsi="宋体" w:eastAsia="宋体" w:cs="宋体"/>
          <w:b/>
          <w:sz w:val="24"/>
          <w:szCs w:val="24"/>
        </w:rPr>
        <w:t>结果</w:t>
      </w:r>
      <w:r>
        <w:rPr>
          <w:rFonts w:hint="eastAsia" w:ascii="宋体" w:hAnsi="宋体" w:eastAsia="宋体" w:cs="宋体"/>
          <w:sz w:val="24"/>
          <w:szCs w:val="24"/>
        </w:rPr>
        <w:t>：属 I型的</w:t>
      </w:r>
      <w:r>
        <w:rPr>
          <w:rFonts w:hint="eastAsia" w:ascii="宋体" w:hAnsi="宋体" w:eastAsia="宋体" w:cs="宋体"/>
          <w:sz w:val="24"/>
          <w:szCs w:val="24"/>
          <w:lang w:val="en-US" w:eastAsia="zh-CN"/>
        </w:rPr>
        <w:t>10</w:t>
      </w:r>
      <w:r>
        <w:rPr>
          <w:rFonts w:hint="eastAsia" w:ascii="宋体" w:hAnsi="宋体" w:eastAsia="宋体" w:cs="宋体"/>
          <w:sz w:val="24"/>
          <w:szCs w:val="24"/>
        </w:rPr>
        <w:t>例</w:t>
      </w:r>
      <w:r>
        <w:rPr>
          <w:rFonts w:hint="eastAsia" w:ascii="宋体" w:hAnsi="宋体" w:eastAsia="宋体" w:cs="宋体"/>
          <w:sz w:val="24"/>
          <w:szCs w:val="24"/>
          <w:lang w:eastAsia="zh-CN"/>
        </w:rPr>
        <w:t>，</w:t>
      </w:r>
      <w:r>
        <w:rPr>
          <w:rFonts w:hint="eastAsia" w:ascii="宋体" w:hAnsi="宋体" w:eastAsia="宋体" w:cs="宋体"/>
          <w:sz w:val="24"/>
          <w:szCs w:val="24"/>
        </w:rPr>
        <w:t>术后移位有恢复；属 Ⅱ型的</w:t>
      </w:r>
      <w:r>
        <w:rPr>
          <w:rFonts w:hint="eastAsia" w:ascii="宋体" w:hAnsi="宋体" w:eastAsia="宋体" w:cs="宋体"/>
          <w:sz w:val="24"/>
          <w:szCs w:val="24"/>
          <w:lang w:val="en-US" w:eastAsia="zh-CN"/>
        </w:rPr>
        <w:t>16</w:t>
      </w:r>
      <w:r>
        <w:rPr>
          <w:rFonts w:hint="eastAsia" w:ascii="宋体" w:hAnsi="宋体" w:eastAsia="宋体" w:cs="宋体"/>
          <w:sz w:val="24"/>
          <w:szCs w:val="24"/>
        </w:rPr>
        <w:t>例术后移位有恢复而纤维破坏未能恢复 ，其中</w:t>
      </w:r>
      <w:r>
        <w:rPr>
          <w:rFonts w:hint="eastAsia" w:ascii="宋体" w:hAnsi="宋体" w:eastAsia="宋体" w:cs="宋体"/>
          <w:sz w:val="24"/>
          <w:szCs w:val="24"/>
          <w:lang w:val="en-US" w:eastAsia="zh-CN"/>
        </w:rPr>
        <w:t>32</w:t>
      </w:r>
      <w:r>
        <w:rPr>
          <w:rFonts w:hint="eastAsia" w:ascii="宋体" w:hAnsi="宋体" w:eastAsia="宋体" w:cs="宋体"/>
          <w:sz w:val="24"/>
          <w:szCs w:val="24"/>
        </w:rPr>
        <w:t>例纤维束与术前比较有较大</w:t>
      </w:r>
      <w:r>
        <w:rPr>
          <w:rFonts w:hint="eastAsia" w:ascii="宋体" w:hAnsi="宋体" w:eastAsia="宋体" w:cs="宋体"/>
          <w:sz w:val="24"/>
          <w:szCs w:val="24"/>
          <w:lang w:eastAsia="zh-CN"/>
        </w:rPr>
        <w:t>损害</w:t>
      </w:r>
      <w:r>
        <w:rPr>
          <w:rFonts w:hint="eastAsia" w:ascii="宋体" w:hAnsi="宋体" w:eastAsia="宋体" w:cs="宋体"/>
          <w:sz w:val="24"/>
          <w:szCs w:val="24"/>
        </w:rPr>
        <w:t>。累及胼胝体</w:t>
      </w:r>
      <w:r>
        <w:rPr>
          <w:rFonts w:hint="eastAsia" w:ascii="宋体" w:hAnsi="宋体" w:eastAsia="宋体" w:cs="宋体"/>
          <w:sz w:val="24"/>
          <w:szCs w:val="24"/>
          <w:lang w:val="en-US" w:eastAsia="zh-CN"/>
        </w:rPr>
        <w:t>3</w:t>
      </w:r>
      <w:r>
        <w:rPr>
          <w:rFonts w:hint="eastAsia" w:ascii="宋体" w:hAnsi="宋体" w:eastAsia="宋体" w:cs="宋体"/>
          <w:sz w:val="24"/>
          <w:szCs w:val="24"/>
        </w:rPr>
        <w:t>0例中，</w:t>
      </w:r>
      <w:r>
        <w:rPr>
          <w:rFonts w:hint="eastAsia" w:ascii="宋体" w:hAnsi="宋体" w:eastAsia="宋体" w:cs="宋体"/>
          <w:sz w:val="24"/>
          <w:szCs w:val="24"/>
          <w:lang w:val="en-US" w:eastAsia="zh-CN"/>
        </w:rPr>
        <w:t>12</w:t>
      </w:r>
      <w:r>
        <w:rPr>
          <w:rFonts w:hint="eastAsia" w:ascii="宋体" w:hAnsi="宋体" w:eastAsia="宋体" w:cs="宋体"/>
          <w:sz w:val="24"/>
          <w:szCs w:val="24"/>
        </w:rPr>
        <w:t>例属I型 ；</w:t>
      </w:r>
      <w:r>
        <w:rPr>
          <w:rFonts w:hint="eastAsia" w:ascii="宋体" w:hAnsi="宋体" w:eastAsia="宋体" w:cs="宋体"/>
          <w:sz w:val="24"/>
          <w:szCs w:val="24"/>
          <w:lang w:val="en-US" w:eastAsia="zh-CN"/>
        </w:rPr>
        <w:t>8</w:t>
      </w:r>
      <w:r>
        <w:rPr>
          <w:rFonts w:hint="eastAsia" w:ascii="宋体" w:hAnsi="宋体" w:eastAsia="宋体" w:cs="宋体"/>
          <w:sz w:val="24"/>
          <w:szCs w:val="24"/>
        </w:rPr>
        <w:t>例属Ⅱ型 ；</w:t>
      </w:r>
      <w:r>
        <w:rPr>
          <w:rFonts w:hint="eastAsia" w:ascii="宋体" w:hAnsi="宋体" w:eastAsia="宋体" w:cs="宋体"/>
          <w:sz w:val="24"/>
          <w:szCs w:val="24"/>
          <w:lang w:val="en-US" w:eastAsia="zh-CN"/>
        </w:rPr>
        <w:t>38</w:t>
      </w:r>
      <w:r>
        <w:rPr>
          <w:rFonts w:hint="eastAsia" w:ascii="宋体" w:hAnsi="宋体" w:eastAsia="宋体" w:cs="宋体"/>
          <w:sz w:val="24"/>
          <w:szCs w:val="24"/>
        </w:rPr>
        <w:t>例属 Ⅲ型 。</w:t>
      </w:r>
      <w:r>
        <w:rPr>
          <w:rFonts w:hint="eastAsia" w:ascii="宋体" w:hAnsi="宋体" w:eastAsia="宋体" w:cs="宋体"/>
          <w:b/>
          <w:sz w:val="24"/>
          <w:szCs w:val="24"/>
        </w:rPr>
        <w:t>结论</w:t>
      </w:r>
      <w:r>
        <w:rPr>
          <w:rFonts w:hint="eastAsia" w:ascii="宋体" w:hAnsi="宋体" w:eastAsia="宋体" w:cs="宋体"/>
          <w:sz w:val="24"/>
          <w:szCs w:val="24"/>
        </w:rPr>
        <w:t>：DT</w:t>
      </w:r>
      <w:r>
        <w:rPr>
          <w:rFonts w:hint="eastAsia" w:ascii="宋体" w:hAnsi="宋体" w:eastAsia="宋体" w:cs="宋体"/>
          <w:sz w:val="24"/>
          <w:szCs w:val="24"/>
          <w:lang w:val="en-US" w:eastAsia="zh-CN"/>
        </w:rPr>
        <w:t>I</w:t>
      </w:r>
      <w:r>
        <w:rPr>
          <w:rFonts w:hint="eastAsia" w:ascii="宋体" w:hAnsi="宋体" w:eastAsia="宋体" w:cs="宋体"/>
          <w:sz w:val="24"/>
          <w:szCs w:val="24"/>
        </w:rPr>
        <w:t>可显示脑肿瘤与相关白质纤维束的关系，手术前后纤维束的变化与临床表现明显相关</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DTI可显示白质纤维束损伤的脑区域</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关键词：</w:t>
      </w:r>
      <w:r>
        <w:rPr>
          <w:rFonts w:hint="eastAsia" w:ascii="宋体" w:hAnsi="宋体" w:eastAsia="宋体" w:cs="宋体"/>
          <w:sz w:val="24"/>
          <w:szCs w:val="24"/>
          <w:lang w:eastAsia="zh-CN"/>
        </w:rPr>
        <w:t>弥散张量成像</w:t>
      </w:r>
      <w:r>
        <w:rPr>
          <w:rFonts w:hint="eastAsia" w:ascii="宋体" w:hAnsi="宋体" w:eastAsia="宋体" w:cs="宋体"/>
          <w:sz w:val="24"/>
          <w:szCs w:val="24"/>
        </w:rPr>
        <w:t>;</w:t>
      </w:r>
      <w:r>
        <w:rPr>
          <w:rFonts w:hint="eastAsia" w:ascii="宋体" w:hAnsi="宋体" w:eastAsia="宋体" w:cs="宋体"/>
          <w:sz w:val="24"/>
          <w:szCs w:val="24"/>
          <w:lang w:eastAsia="zh-CN"/>
        </w:rPr>
        <w:t>脑肿瘤</w:t>
      </w:r>
      <w:r>
        <w:rPr>
          <w:rFonts w:hint="eastAsia" w:ascii="宋体" w:hAnsi="宋体" w:eastAsia="宋体" w:cs="宋体"/>
          <w:sz w:val="24"/>
          <w:szCs w:val="24"/>
        </w:rPr>
        <w:t>;</w:t>
      </w:r>
      <w:r>
        <w:rPr>
          <w:rFonts w:hint="eastAsia" w:ascii="宋体" w:hAnsi="宋体" w:eastAsia="宋体" w:cs="宋体"/>
          <w:sz w:val="24"/>
          <w:szCs w:val="24"/>
          <w:lang w:eastAsia="zh-CN"/>
        </w:rPr>
        <w:t>白质纤维束</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Purpose: This study compared the application of Diffusion Tensor Tractography (DTT) in the white matter fiber tracts of frontal brain tumors in order to assess the degree of tumor damage to the white matter fiber tracts and guide surgical treatment. Method: Fifty-eight patients with complete motor weakness were recruited. DTT is performed in the early stage of tumor discovery (7-28 days). Display part of the anisotropic FA map and directionally encoded color (DEC) map, respectively measure the FA value and apparent diffusion coefficient (ADC) value of the affected side and the healthy side of the pyramidal tract and the corpus callosum, using the paired t The test was compared, and DTI was performed again after the reconstruction of the pyramidal tract and the corpus callosum fiber. The relationship between fiber bundles and tumors can be divided into three types: type I, where the fiber bundles are only displaced; type 11, where the fiber bundles are displaced with invasion and destruction; type llI, where the fiber bundles only have invasion and destruction. Results: 10 cases of type I recovered from postoperative displacement; 16 cases of type II recovered from postoperative displacement but failed to recover from fiber damage. Among them, 32 cases of fiber bundles were more damaged than before. Among 30 cases involving the corpus callosum, 12 cases belonged to type I; 8 cases belonged to type II; 38 cases belonged to type III. Conclusion: DTI can show the relationship between brain tumors and related white matter fiber tracts. The changes of fiber tracts before and after surgery are obviously related to clinical manifestations. DTI can show the brain area damaged by white matter fiber tracts.</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Keywords: Diffusion tensor imaging; brain tumors; white matter fiber tracts.</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ind w:right="25" w:rightChars="12"/>
        <w:jc w:val="center"/>
        <w:rPr>
          <w:rFonts w:hint="eastAsia" w:ascii="宋体" w:hAnsi="宋体" w:eastAsia="宋体" w:cs="宋体"/>
          <w:b/>
          <w:sz w:val="24"/>
          <w:szCs w:val="24"/>
        </w:rPr>
      </w:pPr>
      <w:r>
        <w:rPr>
          <w:rFonts w:hint="eastAsia" w:ascii="宋体" w:hAnsi="宋体" w:eastAsia="宋体" w:cs="宋体"/>
          <w:b/>
          <w:sz w:val="24"/>
          <w:szCs w:val="24"/>
        </w:rPr>
        <w:t>扩散张量成像对评价胶质母细胞瘤浸润程度的研究进展</w:t>
      </w:r>
    </w:p>
    <w:p>
      <w:pPr>
        <w:jc w:val="center"/>
        <w:rPr>
          <w:rFonts w:hint="eastAsia" w:ascii="宋体" w:hAnsi="宋体" w:eastAsia="宋体" w:cs="宋体"/>
          <w:sz w:val="24"/>
          <w:szCs w:val="24"/>
        </w:rPr>
      </w:pPr>
      <w:r>
        <w:rPr>
          <w:rFonts w:hint="eastAsia" w:ascii="宋体" w:hAnsi="宋体" w:eastAsia="宋体" w:cs="宋体"/>
          <w:sz w:val="24"/>
          <w:szCs w:val="24"/>
        </w:rPr>
        <w:t>湖北恩施市中心医院放射科 田生枝</w:t>
      </w:r>
    </w:p>
    <w:p>
      <w:pPr>
        <w:jc w:val="center"/>
        <w:rPr>
          <w:rFonts w:hint="eastAsia" w:ascii="宋体" w:hAnsi="宋体" w:eastAsia="宋体" w:cs="宋体"/>
          <w:sz w:val="24"/>
          <w:szCs w:val="24"/>
        </w:rPr>
      </w:pPr>
      <w:r>
        <w:rPr>
          <w:rFonts w:hint="eastAsia" w:ascii="宋体" w:hAnsi="宋体" w:eastAsia="宋体" w:cs="宋体"/>
          <w:sz w:val="24"/>
          <w:szCs w:val="24"/>
        </w:rPr>
        <w:t>电话：18963922561</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成人中枢神经系统恶性肿瘤中，胶质母细胞瘤（GBM）是最常见的原发性恶性肿瘤，占所有脑功能组织肿瘤的52%和所有颅内肿瘤的20%，胶质母细胞瘤中位总生存期范围为12.2到15.9个月[1]。胶质母细胞瘤的治疗缺乏重大进展主要是基于潜在的肿瘤分子生物学和基因组学的异质性[2]。常规MR序列和特殊MRI序列联合应用可评估整个肿瘤与周围组织的关系，提供形态和功能的信息，例如血管生成、细胞浸润、以及特定肿瘤的代谢产物。扩散张量成像（diffusion tensor imaging，DTI）是一种新近发展的评价水分子弥散运动的技术，通过评价微循环水分子运动状态，从微观上推断胶质瘤细胞对白质纤维束浸润的破坏程度，宏观上显示胶质瘤的侵袭范围[2]。本文就基于胶质母细胞瘤病理学基础应用DTI各项定量参数评价胶质母细胞瘤浸润程度及临床意义作一综述。</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Abstract: Glioblastoma (GBM) is the most common primary malignant tumor in adult central nervous system malignancies, accounting for 52% of all brain functional tissue tumors and 20% of all intracranial tumors. The median overall survival of cell tumors ranged from 12.2 to 15.9 months [1]. The lack of significant advances in the treatment of glioblastoma is based primarily on the potential heterogeneity of tumor molecular biology and genomics [2]. The combination of conventional MR sequences and special MRI sequences can assess the relationship of the entire tumor to surrounding tissue, providing morphological and functional information such as angiogenesis, cellular infiltration, and metabolites of specific tumors. Diffusion tensor imaging (DTI) is a newly developed technique for evaluating the diffusion motion of water molecules. By evaluating the motion state of microcirculation water molecules, the degree of damage of glioma cells to white matter fiber bundle infiltration is inferred microscopically. Macroscopically, the extent of invasion of glioma is shown [2]. This article reviews the extent and clinical significance of glioblastoma infiltration based on the quantitative parameters of DTI based on the pathology of glioblastoma.</w:t>
      </w:r>
    </w:p>
    <w:p>
      <w:pPr>
        <w:keepNext w:val="0"/>
        <w:keepLines w:val="0"/>
        <w:pageBreakBefore w:val="0"/>
        <w:widowControl w:val="0"/>
        <w:kinsoku/>
        <w:wordWrap/>
        <w:overflowPunct/>
        <w:topLinePunct w:val="0"/>
        <w:autoSpaceDE/>
        <w:autoSpaceDN/>
        <w:bidi w:val="0"/>
        <w:adjustRightInd/>
        <w:snapToGrid/>
        <w:spacing w:beforeLines="0" w:afterLines="0" w:line="320" w:lineRule="exact"/>
        <w:jc w:val="left"/>
        <w:textAlignment w:val="auto"/>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tabs>
          <w:tab w:val="left" w:pos="0"/>
        </w:tabs>
        <w:spacing w:line="360" w:lineRule="auto"/>
        <w:rPr>
          <w:rFonts w:hint="eastAsia" w:ascii="宋体" w:hAnsi="宋体" w:eastAsia="宋体" w:cs="宋体"/>
          <w:color w:val="000000"/>
          <w:kern w:val="0"/>
          <w:sz w:val="24"/>
          <w:szCs w:val="24"/>
          <w:shd w:val="clear" w:color="auto" w:fill="FFFFFF"/>
          <w:lang w:val="en-US" w:eastAsia="zh-CN"/>
        </w:rPr>
      </w:pPr>
    </w:p>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静默疗法对幽闭恐惧症患者磁共振检查情绪状态的影响</w:t>
      </w:r>
    </w:p>
    <w:p>
      <w:pPr>
        <w:tabs>
          <w:tab w:val="left" w:pos="0"/>
        </w:tabs>
        <w:spacing w:line="360" w:lineRule="auto"/>
        <w:jc w:val="center"/>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郭小梅</w:t>
      </w:r>
    </w:p>
    <w:p>
      <w:pPr>
        <w:tabs>
          <w:tab w:val="left" w:pos="0"/>
        </w:tabs>
        <w:spacing w:line="360" w:lineRule="auto"/>
        <w:jc w:val="center"/>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湖北省天门市第一人民医院 CT磁共振室 湖北天门 431700</w:t>
      </w:r>
    </w:p>
    <w:p>
      <w:pPr>
        <w:tabs>
          <w:tab w:val="left" w:pos="0"/>
        </w:tabs>
        <w:spacing w:line="360" w:lineRule="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通讯地址：湖北省天门市竟陵人民大道东1号湖北省天门市第一人民医院 CT磁共振室 邮政编码:431700 电话：15171559219</w:t>
      </w:r>
    </w:p>
    <w:p>
      <w:pPr>
        <w:keepNext w:val="0"/>
        <w:keepLines w:val="0"/>
        <w:pageBreakBefore w:val="0"/>
        <w:tabs>
          <w:tab w:val="left" w:pos="0"/>
        </w:tabs>
        <w:kinsoku/>
        <w:wordWrap/>
        <w:overflowPunct/>
        <w:topLinePunct w:val="0"/>
        <w:bidi w:val="0"/>
        <w:snapToGrid/>
        <w:spacing w:line="320" w:lineRule="exact"/>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b/>
          <w:color w:val="000000"/>
          <w:kern w:val="0"/>
          <w:sz w:val="24"/>
          <w:szCs w:val="24"/>
          <w:shd w:val="clear" w:color="auto" w:fill="FFFFFF"/>
        </w:rPr>
        <w:t xml:space="preserve">摘 要 目的 </w:t>
      </w:r>
      <w:r>
        <w:rPr>
          <w:rFonts w:hint="eastAsia" w:ascii="宋体" w:hAnsi="宋体" w:eastAsia="宋体" w:cs="宋体"/>
          <w:color w:val="000000"/>
          <w:kern w:val="0"/>
          <w:sz w:val="24"/>
          <w:szCs w:val="24"/>
          <w:shd w:val="clear" w:color="auto" w:fill="FFFFFF"/>
        </w:rPr>
        <w:t>探讨静默疗法对幽闭恐惧症患者磁共振检查情绪状态的影响。</w:t>
      </w:r>
      <w:r>
        <w:rPr>
          <w:rFonts w:hint="eastAsia" w:ascii="宋体" w:hAnsi="宋体" w:eastAsia="宋体" w:cs="宋体"/>
          <w:b/>
          <w:color w:val="000000"/>
          <w:kern w:val="0"/>
          <w:sz w:val="24"/>
          <w:szCs w:val="24"/>
          <w:shd w:val="clear" w:color="auto" w:fill="FFFFFF"/>
        </w:rPr>
        <w:t>方法</w:t>
      </w:r>
      <w:r>
        <w:rPr>
          <w:rFonts w:hint="eastAsia" w:ascii="宋体" w:hAnsi="宋体" w:eastAsia="宋体" w:cs="宋体"/>
          <w:color w:val="000000"/>
          <w:kern w:val="0"/>
          <w:sz w:val="24"/>
          <w:szCs w:val="24"/>
          <w:shd w:val="clear" w:color="auto" w:fill="FFFFFF"/>
        </w:rPr>
        <w:t xml:space="preserve"> 选取80例进行磁共振检查的幽闭恐惧症患者，按照入组时间分为试验组和对照组，每组各40例。对照组给予常规护理，试验组在常规护理基础上实施静默疗法。记录2组患者检查时间、检查成功率和自主神经症状发生率；采用心境状态量表（profile of mood states, POMS）评价患者检查前和检查后情绪状态。</w:t>
      </w:r>
      <w:r>
        <w:rPr>
          <w:rFonts w:hint="eastAsia" w:ascii="宋体" w:hAnsi="宋体" w:eastAsia="宋体" w:cs="宋体"/>
          <w:b/>
          <w:color w:val="000000"/>
          <w:kern w:val="0"/>
          <w:sz w:val="24"/>
          <w:szCs w:val="24"/>
          <w:shd w:val="clear" w:color="auto" w:fill="FFFFFF"/>
        </w:rPr>
        <w:t>结果</w:t>
      </w:r>
      <w:r>
        <w:rPr>
          <w:rFonts w:hint="eastAsia" w:ascii="宋体" w:hAnsi="宋体" w:eastAsia="宋体" w:cs="宋体"/>
          <w:color w:val="000000"/>
          <w:kern w:val="0"/>
          <w:sz w:val="24"/>
          <w:szCs w:val="24"/>
          <w:shd w:val="clear" w:color="auto" w:fill="FFFFFF"/>
        </w:rPr>
        <w:t xml:space="preserve"> 试验组检查时间为（15.68±3.74）分，检查成功率为92.5%（37/40），对照组为（18.10±4.68）分钟、52.5%（21/40），差异有统计学意义（</w:t>
      </w:r>
      <w:r>
        <w:rPr>
          <w:rFonts w:hint="eastAsia" w:ascii="宋体" w:hAnsi="宋体" w:eastAsia="宋体" w:cs="宋体"/>
          <w:i/>
          <w:iCs/>
          <w:color w:val="000000"/>
          <w:kern w:val="0"/>
          <w:sz w:val="24"/>
          <w:szCs w:val="24"/>
          <w:shd w:val="clear" w:color="auto" w:fill="FFFFFF"/>
        </w:rPr>
        <w:t>P</w:t>
      </w:r>
      <w:r>
        <w:rPr>
          <w:rFonts w:hint="eastAsia" w:ascii="宋体" w:hAnsi="宋体" w:eastAsia="宋体" w:cs="宋体"/>
          <w:color w:val="000000"/>
          <w:kern w:val="0"/>
          <w:sz w:val="24"/>
          <w:szCs w:val="24"/>
          <w:shd w:val="clear" w:color="auto" w:fill="FFFFFF"/>
        </w:rPr>
        <w:t>＜0.05）。试验组心悸、手足出汗、狂躁、频死感等自主神经症状发生率17.5%（7/40）、27.5%（11/40）、12.5%（5/40）、12.5%（5/40），明显低于对照组的37.5%（15/40）、57.5%（23/40）、32.5%（13/40）、35.0%（14/40），差异有统计学意义（</w:t>
      </w:r>
      <w:r>
        <w:rPr>
          <w:rFonts w:hint="eastAsia" w:ascii="宋体" w:hAnsi="宋体" w:eastAsia="宋体" w:cs="宋体"/>
          <w:i/>
          <w:iCs/>
          <w:color w:val="000000"/>
          <w:kern w:val="0"/>
          <w:sz w:val="24"/>
          <w:szCs w:val="24"/>
          <w:shd w:val="clear" w:color="auto" w:fill="FFFFFF"/>
        </w:rPr>
        <w:t>P</w:t>
      </w:r>
      <w:r>
        <w:rPr>
          <w:rFonts w:hint="eastAsia" w:ascii="宋体" w:hAnsi="宋体" w:eastAsia="宋体" w:cs="宋体"/>
          <w:color w:val="000000"/>
          <w:kern w:val="0"/>
          <w:sz w:val="24"/>
          <w:szCs w:val="24"/>
          <w:shd w:val="clear" w:color="auto" w:fill="FFFFFF"/>
        </w:rPr>
        <w:t>＜0.05）。检查后，试验组POMS量表中紧张、压抑、慌乱分量表得分及总分分别为（5.68±1.16）分、（4.65±2.07）分、（4.45±1.66）分和（112.85±4.14）分，明显低于对照组的（8.10±1.79）分、（5.90±2.21）分、（5.78±2.61）分和（120.45±6.33）分；精力、自尊心分量表得分为（5.45±1.55）分、（4.70±1.76）分，明显高于对照组的（4.55±1.18）分、（3.98±1.44）分，差异有统计学意义（</w:t>
      </w:r>
      <w:r>
        <w:rPr>
          <w:rFonts w:hint="eastAsia" w:ascii="宋体" w:hAnsi="宋体" w:eastAsia="宋体" w:cs="宋体"/>
          <w:i/>
          <w:iCs/>
          <w:color w:val="000000"/>
          <w:kern w:val="0"/>
          <w:sz w:val="24"/>
          <w:szCs w:val="24"/>
          <w:shd w:val="clear" w:color="auto" w:fill="FFFFFF"/>
        </w:rPr>
        <w:t>P</w:t>
      </w:r>
      <w:r>
        <w:rPr>
          <w:rFonts w:hint="eastAsia" w:ascii="宋体" w:hAnsi="宋体" w:eastAsia="宋体" w:cs="宋体"/>
          <w:color w:val="000000"/>
          <w:kern w:val="0"/>
          <w:sz w:val="24"/>
          <w:szCs w:val="24"/>
          <w:shd w:val="clear" w:color="auto" w:fill="FFFFFF"/>
        </w:rPr>
        <w:t>＜0.05）。</w:t>
      </w:r>
      <w:r>
        <w:rPr>
          <w:rFonts w:hint="eastAsia" w:ascii="宋体" w:hAnsi="宋体" w:eastAsia="宋体" w:cs="宋体"/>
          <w:b/>
          <w:color w:val="000000"/>
          <w:kern w:val="0"/>
          <w:sz w:val="24"/>
          <w:szCs w:val="24"/>
          <w:shd w:val="clear" w:color="auto" w:fill="FFFFFF"/>
        </w:rPr>
        <w:t xml:space="preserve">结论 </w:t>
      </w:r>
      <w:r>
        <w:rPr>
          <w:rFonts w:hint="eastAsia" w:ascii="宋体" w:hAnsi="宋体" w:eastAsia="宋体" w:cs="宋体"/>
          <w:color w:val="000000" w:themeColor="text1"/>
          <w:sz w:val="24"/>
          <w:szCs w:val="24"/>
          <w14:textFill>
            <w14:solidFill>
              <w14:schemeClr w14:val="tx1"/>
            </w14:solidFill>
          </w14:textFill>
        </w:rPr>
        <w:t>静默疗法有助于改善幽闭恐惧症患者心理状态，提高患者磁共振检查效率和降低自主神经症状发生率。</w:t>
      </w:r>
    </w:p>
    <w:p>
      <w:pPr>
        <w:keepNext w:val="0"/>
        <w:keepLines w:val="0"/>
        <w:pageBreakBefore w:val="0"/>
        <w:tabs>
          <w:tab w:val="left" w:pos="0"/>
        </w:tabs>
        <w:kinsoku/>
        <w:wordWrap/>
        <w:overflowPunct/>
        <w:topLinePunct w:val="0"/>
        <w:bidi w:val="0"/>
        <w:snapToGrid/>
        <w:spacing w:line="320" w:lineRule="exact"/>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b/>
          <w:color w:val="000000"/>
          <w:kern w:val="0"/>
          <w:sz w:val="24"/>
          <w:szCs w:val="24"/>
          <w:shd w:val="clear" w:color="auto" w:fill="FFFFFF"/>
        </w:rPr>
        <w:t>关键词</w:t>
      </w:r>
      <w:r>
        <w:rPr>
          <w:rFonts w:hint="eastAsia" w:ascii="宋体" w:hAnsi="宋体" w:eastAsia="宋体" w:cs="宋体"/>
          <w:color w:val="000000"/>
          <w:kern w:val="0"/>
          <w:sz w:val="24"/>
          <w:szCs w:val="24"/>
          <w:shd w:val="clear" w:color="auto" w:fill="FFFFFF"/>
        </w:rPr>
        <w:t xml:space="preserve"> 静默疗法；幽闭恐惧症；磁共振；情绪状态</w:t>
      </w:r>
    </w:p>
    <w:p>
      <w:pPr>
        <w:keepNext w:val="0"/>
        <w:keepLines w:val="0"/>
        <w:pageBreakBefore w:val="0"/>
        <w:kinsoku/>
        <w:wordWrap/>
        <w:overflowPunct/>
        <w:topLinePunct w:val="0"/>
        <w:autoSpaceDE w:val="0"/>
        <w:autoSpaceDN w:val="0"/>
        <w:bidi w:val="0"/>
        <w:snapToGrid/>
        <w:spacing w:line="320" w:lineRule="exact"/>
        <w:jc w:val="center"/>
        <w:textAlignment w:val="auto"/>
        <w:outlineLvl w:val="0"/>
        <w:rPr>
          <w:rFonts w:hint="eastAsia" w:ascii="宋体" w:hAnsi="宋体" w:eastAsia="宋体" w:cs="宋体"/>
          <w:b/>
          <w:color w:val="000000"/>
          <w:kern w:val="0"/>
          <w:sz w:val="24"/>
          <w:szCs w:val="24"/>
          <w:shd w:val="clear" w:color="auto" w:fill="FFFFFF"/>
        </w:rPr>
      </w:pPr>
      <w:r>
        <w:rPr>
          <w:rFonts w:hint="eastAsia" w:ascii="宋体" w:hAnsi="宋体" w:eastAsia="宋体" w:cs="宋体"/>
          <w:b/>
          <w:color w:val="000000"/>
          <w:kern w:val="0"/>
          <w:sz w:val="24"/>
          <w:szCs w:val="24"/>
          <w:shd w:val="clear" w:color="auto" w:fill="FFFFFF"/>
        </w:rPr>
        <w:t>Effects of meditation therapy on mood states in inspection of magnetic resonance imaging of patients with claustrophobia</w:t>
      </w:r>
    </w:p>
    <w:p>
      <w:pPr>
        <w:keepNext w:val="0"/>
        <w:keepLines w:val="0"/>
        <w:pageBreakBefore w:val="0"/>
        <w:widowControl/>
        <w:kinsoku/>
        <w:wordWrap/>
        <w:overflowPunct/>
        <w:topLinePunct w:val="0"/>
        <w:autoSpaceDE w:val="0"/>
        <w:autoSpaceDN w:val="0"/>
        <w:bidi w:val="0"/>
        <w:adjustRightInd w:val="0"/>
        <w:snapToGrid/>
        <w:spacing w:line="320" w:lineRule="exact"/>
        <w:jc w:val="center"/>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Guo Xiao-mei</w:t>
      </w:r>
    </w:p>
    <w:p>
      <w:pPr>
        <w:keepNext w:val="0"/>
        <w:keepLines w:val="0"/>
        <w:pageBreakBefore w:val="0"/>
        <w:widowControl/>
        <w:kinsoku/>
        <w:wordWrap/>
        <w:overflowPunct/>
        <w:topLinePunct w:val="0"/>
        <w:autoSpaceDE w:val="0"/>
        <w:autoSpaceDN w:val="0"/>
        <w:bidi w:val="0"/>
        <w:adjustRightInd w:val="0"/>
        <w:snapToGrid/>
        <w:spacing w:line="320" w:lineRule="exact"/>
        <w:jc w:val="center"/>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Magnetic Resonance Room，The first people's hospital of Tianmen, Hubei 431700</w:t>
      </w:r>
    </w:p>
    <w:p>
      <w:pPr>
        <w:keepNext w:val="0"/>
        <w:keepLines w:val="0"/>
        <w:pageBreakBefore w:val="0"/>
        <w:widowControl/>
        <w:kinsoku/>
        <w:wordWrap/>
        <w:overflowPunct/>
        <w:topLinePunct w:val="0"/>
        <w:autoSpaceDE w:val="0"/>
        <w:autoSpaceDN w:val="0"/>
        <w:bidi w:val="0"/>
        <w:adjustRightInd w:val="0"/>
        <w:snapToGrid/>
        <w:spacing w:line="320" w:lineRule="exact"/>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b/>
          <w:color w:val="000000"/>
          <w:kern w:val="0"/>
          <w:sz w:val="24"/>
          <w:szCs w:val="24"/>
          <w:shd w:val="clear" w:color="auto" w:fill="FFFFFF"/>
        </w:rPr>
        <w:t>Abstract: Objective</w:t>
      </w:r>
      <w:r>
        <w:rPr>
          <w:rFonts w:hint="eastAsia" w:ascii="宋体" w:hAnsi="宋体" w:eastAsia="宋体" w:cs="宋体"/>
          <w:color w:val="000000"/>
          <w:kern w:val="0"/>
          <w:sz w:val="24"/>
          <w:szCs w:val="24"/>
          <w:shd w:val="clear" w:color="auto" w:fill="FFFFFF"/>
        </w:rPr>
        <w:t xml:space="preserve"> To investigate the effect of meditation therapy on mood states in inspection of magnetic resonance imaging of patients with claustrophobia. </w:t>
      </w:r>
      <w:r>
        <w:rPr>
          <w:rFonts w:hint="eastAsia" w:ascii="宋体" w:hAnsi="宋体" w:eastAsia="宋体" w:cs="宋体"/>
          <w:b/>
          <w:color w:val="000000"/>
          <w:kern w:val="0"/>
          <w:sz w:val="24"/>
          <w:szCs w:val="24"/>
          <w:shd w:val="clear" w:color="auto" w:fill="FFFFFF"/>
        </w:rPr>
        <w:t>Methods</w:t>
      </w:r>
      <w:r>
        <w:rPr>
          <w:rFonts w:hint="eastAsia" w:ascii="宋体" w:hAnsi="宋体" w:eastAsia="宋体" w:cs="宋体"/>
          <w:color w:val="000000"/>
          <w:kern w:val="0"/>
          <w:sz w:val="24"/>
          <w:szCs w:val="24"/>
          <w:shd w:val="clear" w:color="auto" w:fill="FFFFFF"/>
        </w:rPr>
        <w:t xml:space="preserve"> A total of 80 patients who undergoing magnetic resonance imaging inspection with claustrophobia were randomly divided into experimental group and control group, with 43 cases in each group. The patients in the control group recieved routine nursing, the experimental group carried out meditation training. The examination time, examination success rate as well as the incidence of autonomic nervous symptoms were recorded between two groups. Before and after intervention, the mood states of paitents were evaluated by profile of mood states (POMS). </w:t>
      </w:r>
      <w:r>
        <w:rPr>
          <w:rFonts w:hint="eastAsia" w:ascii="宋体" w:hAnsi="宋体" w:eastAsia="宋体" w:cs="宋体"/>
          <w:b/>
          <w:color w:val="000000"/>
          <w:kern w:val="0"/>
          <w:sz w:val="24"/>
          <w:szCs w:val="24"/>
          <w:shd w:val="clear" w:color="auto" w:fill="FFFFFF"/>
        </w:rPr>
        <w:t>Results</w:t>
      </w:r>
      <w:r>
        <w:rPr>
          <w:rFonts w:hint="eastAsia" w:ascii="宋体" w:hAnsi="宋体" w:eastAsia="宋体" w:cs="宋体"/>
          <w:color w:val="000000"/>
          <w:kern w:val="0"/>
          <w:sz w:val="24"/>
          <w:szCs w:val="24"/>
          <w:shd w:val="clear" w:color="auto" w:fill="FFFFFF"/>
        </w:rPr>
        <w:t xml:space="preserve"> The examination time were (15.68±3.74) min and the success rate were 92.5% (37/40) in the experimental group, those index were (18.10±4.68) min and 52.5% (21/40) in the control group, the difference was statistically significant (</w:t>
      </w:r>
      <w:r>
        <w:rPr>
          <w:rFonts w:hint="eastAsia" w:ascii="宋体" w:hAnsi="宋体" w:eastAsia="宋体" w:cs="宋体"/>
          <w:i/>
          <w:iCs/>
          <w:color w:val="000000"/>
          <w:kern w:val="0"/>
          <w:sz w:val="24"/>
          <w:szCs w:val="24"/>
          <w:shd w:val="clear" w:color="auto" w:fill="FFFFFF"/>
        </w:rPr>
        <w:t>P</w:t>
      </w:r>
      <w:r>
        <w:rPr>
          <w:rFonts w:hint="eastAsia" w:ascii="宋体" w:hAnsi="宋体" w:eastAsia="宋体" w:cs="宋体"/>
          <w:color w:val="000000"/>
          <w:kern w:val="0"/>
          <w:sz w:val="24"/>
          <w:szCs w:val="24"/>
          <w:shd w:val="clear" w:color="auto" w:fill="FFFFFF"/>
        </w:rPr>
        <w:t>＜0.05). The incidence of palpitation, sweating, manic, frequent death were 17.5% (7/40), 27.5% (11/40), 12.5% (5/40), 12.5% (5/40) in the experimental group, significantly lower than in the control group 37.5% (15/40), 57.5% (23/40), 32.5% (13/40), 35.0% (14/40), the difference was statistically significant (</w:t>
      </w:r>
      <w:r>
        <w:rPr>
          <w:rFonts w:hint="eastAsia" w:ascii="宋体" w:hAnsi="宋体" w:eastAsia="宋体" w:cs="宋体"/>
          <w:i/>
          <w:iCs/>
          <w:color w:val="000000"/>
          <w:kern w:val="0"/>
          <w:sz w:val="24"/>
          <w:szCs w:val="24"/>
          <w:shd w:val="clear" w:color="auto" w:fill="FFFFFF"/>
        </w:rPr>
        <w:t>P</w:t>
      </w:r>
      <w:r>
        <w:rPr>
          <w:rFonts w:hint="eastAsia" w:ascii="宋体" w:hAnsi="宋体" w:eastAsia="宋体" w:cs="宋体"/>
          <w:color w:val="000000"/>
          <w:kern w:val="0"/>
          <w:sz w:val="24"/>
          <w:szCs w:val="24"/>
          <w:shd w:val="clear" w:color="auto" w:fill="FFFFFF"/>
        </w:rPr>
        <w:t>＜0.05). After intervention, the tension-anxiety, depression, confusion subscale and total POMS scores were (5.68±1.16) pionts, (4.65±2.07) pionts, (4.45±1.66) pionts and (112.85±4.14) pionts, significantly lower than in the control group (8.10±1.79) pionts, (5.90±2.21) pionts, (5.78±2.61) pionts and (120.45±6.33) pionts, the scores of vigor and esteem-related affect subscale were (5.45±1.55) pionts and (5.45±1.55) pionts, significantly higher than in the control group (4.55±1.18) pionts and (3.98±1.44) pionts, the difference was statistically significant (</w:t>
      </w:r>
      <w:r>
        <w:rPr>
          <w:rFonts w:hint="eastAsia" w:ascii="宋体" w:hAnsi="宋体" w:eastAsia="宋体" w:cs="宋体"/>
          <w:i/>
          <w:iCs/>
          <w:color w:val="000000"/>
          <w:kern w:val="0"/>
          <w:sz w:val="24"/>
          <w:szCs w:val="24"/>
          <w:shd w:val="clear" w:color="auto" w:fill="FFFFFF"/>
        </w:rPr>
        <w:t>P</w:t>
      </w:r>
      <w:r>
        <w:rPr>
          <w:rFonts w:hint="eastAsia" w:ascii="宋体" w:hAnsi="宋体" w:eastAsia="宋体" w:cs="宋体"/>
          <w:color w:val="000000"/>
          <w:kern w:val="0"/>
          <w:sz w:val="24"/>
          <w:szCs w:val="24"/>
          <w:shd w:val="clear" w:color="auto" w:fill="FFFFFF"/>
        </w:rPr>
        <w:t xml:space="preserve">＜0.05). </w:t>
      </w:r>
      <w:r>
        <w:rPr>
          <w:rFonts w:hint="eastAsia" w:ascii="宋体" w:hAnsi="宋体" w:eastAsia="宋体" w:cs="宋体"/>
          <w:b/>
          <w:color w:val="000000"/>
          <w:kern w:val="0"/>
          <w:sz w:val="24"/>
          <w:szCs w:val="24"/>
          <w:shd w:val="clear" w:color="auto" w:fill="FFFFFF"/>
        </w:rPr>
        <w:t>Conclusion</w:t>
      </w:r>
      <w:r>
        <w:rPr>
          <w:rFonts w:hint="eastAsia" w:ascii="宋体" w:hAnsi="宋体" w:eastAsia="宋体" w:cs="宋体"/>
          <w:color w:val="000000"/>
          <w:kern w:val="0"/>
          <w:sz w:val="24"/>
          <w:szCs w:val="24"/>
          <w:shd w:val="clear" w:color="auto" w:fill="FFFFFF"/>
        </w:rPr>
        <w:t xml:space="preserve"> Meditation therapy can alleviate mood states of claustrophobia patients who undergoing MRI inspection, shorten the examination time as well as reduce complications.</w:t>
      </w:r>
    </w:p>
    <w:p>
      <w:pPr>
        <w:keepNext w:val="0"/>
        <w:keepLines w:val="0"/>
        <w:pageBreakBefore w:val="0"/>
        <w:kinsoku/>
        <w:wordWrap/>
        <w:overflowPunct/>
        <w:topLinePunct w:val="0"/>
        <w:bidi w:val="0"/>
        <w:snapToGrid/>
        <w:spacing w:line="320" w:lineRule="exact"/>
        <w:textAlignment w:val="auto"/>
        <w:rPr>
          <w:rFonts w:hint="eastAsia" w:ascii="宋体" w:hAnsi="宋体" w:eastAsia="宋体" w:cs="宋体"/>
          <w:b/>
          <w:bCs/>
          <w:sz w:val="24"/>
          <w:szCs w:val="24"/>
        </w:rPr>
      </w:pPr>
      <w:r>
        <w:rPr>
          <w:rFonts w:hint="eastAsia" w:ascii="宋体" w:hAnsi="宋体" w:eastAsia="宋体" w:cs="宋体"/>
          <w:b/>
          <w:color w:val="000000"/>
          <w:kern w:val="0"/>
          <w:sz w:val="24"/>
          <w:szCs w:val="24"/>
          <w:shd w:val="clear" w:color="auto" w:fill="FFFFFF"/>
        </w:rPr>
        <w:t>Key words</w:t>
      </w:r>
      <w:r>
        <w:rPr>
          <w:rFonts w:hint="eastAsia" w:ascii="宋体" w:hAnsi="宋体" w:eastAsia="宋体" w:cs="宋体"/>
          <w:color w:val="000000"/>
          <w:kern w:val="0"/>
          <w:sz w:val="24"/>
          <w:szCs w:val="24"/>
          <w:shd w:val="clear" w:color="auto" w:fill="FFFFFF"/>
        </w:rPr>
        <w:t xml:space="preserve"> Meditation therapy; claustrophobia; magnetic resonance imaging; mood states</w:t>
      </w:r>
    </w:p>
    <w:p>
      <w:pPr>
        <w:keepNext w:val="0"/>
        <w:keepLines w:val="0"/>
        <w:pageBreakBefore w:val="0"/>
        <w:kinsoku/>
        <w:wordWrap/>
        <w:overflowPunct/>
        <w:topLinePunct w:val="0"/>
        <w:bidi w:val="0"/>
        <w:snapToGrid/>
        <w:spacing w:line="32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幽闭恐惧症是指人处于封闭环境中，因内心恐惧而出现的一系列生理和心理反应，包括胸闷、气急、心悸、出汗、烦躁、面色苍白，甚至大声哭闹等临床表现</w:t>
      </w:r>
      <w:r>
        <w:rPr>
          <w:rFonts w:hint="eastAsia" w:ascii="宋体" w:hAnsi="宋体" w:eastAsia="宋体" w:cs="宋体"/>
          <w:sz w:val="24"/>
          <w:szCs w:val="24"/>
          <w:vertAlign w:val="superscript"/>
        </w:rPr>
        <w:t>[1]</w:t>
      </w:r>
      <w:r>
        <w:rPr>
          <w:rFonts w:hint="eastAsia" w:ascii="宋体" w:hAnsi="宋体" w:eastAsia="宋体" w:cs="宋体"/>
          <w:sz w:val="24"/>
          <w:szCs w:val="24"/>
        </w:rPr>
        <w:t>。磁共振成像（magnetic resonance imaging, MRI）无电离辐射，相对安全，并且提供的图像清晰，是临床上最常用的诊疗方法之一。然而磁共振检查设备孔洞狭长、视野小、光线暗，同时还伴有梯度磁场切换发出的刺耳噪音，导致部分患者在检查时触发幽闭恐惧症</w:t>
      </w:r>
      <w:r>
        <w:rPr>
          <w:rFonts w:hint="eastAsia" w:ascii="宋体" w:hAnsi="宋体" w:eastAsia="宋体" w:cs="宋体"/>
          <w:sz w:val="24"/>
          <w:szCs w:val="24"/>
          <w:vertAlign w:val="superscript"/>
        </w:rPr>
        <w:t>[2]</w:t>
      </w:r>
      <w:r>
        <w:rPr>
          <w:rFonts w:hint="eastAsia" w:ascii="宋体" w:hAnsi="宋体" w:eastAsia="宋体" w:cs="宋体"/>
          <w:sz w:val="24"/>
          <w:szCs w:val="24"/>
        </w:rPr>
        <w:t>。调查显示</w:t>
      </w:r>
      <w:r>
        <w:rPr>
          <w:rFonts w:hint="eastAsia" w:ascii="宋体" w:hAnsi="宋体" w:eastAsia="宋体" w:cs="宋体"/>
          <w:sz w:val="24"/>
          <w:szCs w:val="24"/>
          <w:vertAlign w:val="superscript"/>
        </w:rPr>
        <w:t>[3]</w:t>
      </w:r>
      <w:r>
        <w:rPr>
          <w:rFonts w:hint="eastAsia" w:ascii="宋体" w:hAnsi="宋体" w:eastAsia="宋体" w:cs="宋体"/>
          <w:sz w:val="24"/>
          <w:szCs w:val="24"/>
        </w:rPr>
        <w:t>，接受磁共振检查的患者中，幽闭恐惧症发生率为1%～3%。幽闭恐惧症使患者不能按照要求配合检查，无法获得满意的图像，部分患者甚至被迫中止检查。因此，减轻幽闭恐惧症患者磁共振检查时心理应激反应，对促进患者配合、提高检查质量具有重要作用。从心理学上看，幽闭恐惧症属于心理疾病，是恐怖性神经症的一种，其干预措施的重点是放松患者的情绪反应</w:t>
      </w:r>
      <w:r>
        <w:rPr>
          <w:rFonts w:hint="eastAsia" w:ascii="宋体" w:hAnsi="宋体" w:eastAsia="宋体" w:cs="宋体"/>
          <w:sz w:val="24"/>
          <w:szCs w:val="24"/>
          <w:vertAlign w:val="superscript"/>
        </w:rPr>
        <w:t>[4]</w:t>
      </w:r>
      <w:r>
        <w:rPr>
          <w:rFonts w:hint="eastAsia" w:ascii="宋体" w:hAnsi="宋体" w:eastAsia="宋体" w:cs="宋体"/>
          <w:sz w:val="24"/>
          <w:szCs w:val="24"/>
        </w:rPr>
        <w:t>。静默疗法（Meditation therapy）是指个体将意识或关注度集中到一个客体、意念或情绪体验，在治疗师的引导下进行的一种放松训练</w:t>
      </w:r>
      <w:r>
        <w:rPr>
          <w:rFonts w:hint="eastAsia" w:ascii="宋体" w:hAnsi="宋体" w:eastAsia="宋体" w:cs="宋体"/>
          <w:sz w:val="24"/>
          <w:szCs w:val="24"/>
          <w:vertAlign w:val="superscript"/>
        </w:rPr>
        <w:t>[5]</w:t>
      </w:r>
      <w:r>
        <w:rPr>
          <w:rFonts w:hint="eastAsia" w:ascii="宋体" w:hAnsi="宋体" w:eastAsia="宋体" w:cs="宋体"/>
          <w:sz w:val="24"/>
          <w:szCs w:val="24"/>
        </w:rPr>
        <w:t>。自静默疗法应用于临床以来，因其操作简单、效果显著等优点得到广泛的应用，可用于降低白内障手术患者术中生理应激反应</w:t>
      </w:r>
      <w:r>
        <w:rPr>
          <w:rFonts w:hint="eastAsia" w:ascii="宋体" w:hAnsi="宋体" w:eastAsia="宋体" w:cs="宋体"/>
          <w:sz w:val="24"/>
          <w:szCs w:val="24"/>
          <w:vertAlign w:val="superscript"/>
        </w:rPr>
        <w:t>[6]</w:t>
      </w:r>
      <w:r>
        <w:rPr>
          <w:rFonts w:hint="eastAsia" w:ascii="宋体" w:hAnsi="宋体" w:eastAsia="宋体" w:cs="宋体"/>
          <w:sz w:val="24"/>
          <w:szCs w:val="24"/>
        </w:rPr>
        <w:t>，提高乳腺癌术后化疗患者睡眠质量</w:t>
      </w:r>
      <w:r>
        <w:rPr>
          <w:rFonts w:hint="eastAsia" w:ascii="宋体" w:hAnsi="宋体" w:eastAsia="宋体" w:cs="宋体"/>
          <w:sz w:val="24"/>
          <w:szCs w:val="24"/>
          <w:vertAlign w:val="superscript"/>
        </w:rPr>
        <w:t>[7]</w:t>
      </w:r>
      <w:r>
        <w:rPr>
          <w:rFonts w:hint="eastAsia" w:ascii="宋体" w:hAnsi="宋体" w:eastAsia="宋体" w:cs="宋体"/>
          <w:sz w:val="24"/>
          <w:szCs w:val="24"/>
        </w:rPr>
        <w:t>，但是其在幽闭恐惧症患者中的应用尚未见报道。因此，本研究对幽闭恐惧症患者磁共振检查前实施静默疗法，旨在观察对患者情绪状态的影响，现报告如下。</w:t>
      </w:r>
    </w:p>
    <w:p>
      <w:pPr>
        <w:keepNext w:val="0"/>
        <w:keepLines w:val="0"/>
        <w:pageBreakBefore w:val="0"/>
        <w:kinsoku/>
        <w:wordWrap/>
        <w:overflowPunct/>
        <w:topLinePunct w:val="0"/>
        <w:bidi w:val="0"/>
        <w:snapToGrid/>
        <w:spacing w:line="320" w:lineRule="exact"/>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资料与方法</w:t>
      </w:r>
    </w:p>
    <w:p>
      <w:pPr>
        <w:keepNext w:val="0"/>
        <w:keepLines w:val="0"/>
        <w:pageBreakBefore w:val="0"/>
        <w:kinsoku/>
        <w:wordWrap/>
        <w:overflowPunct/>
        <w:topLinePunct w:val="0"/>
        <w:bidi w:val="0"/>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1 一般资料。本研究以情绪状态得分作为主要结局指标，假设2组样本量相同，按照两均数样本量计算公式：</w:t>
      </w:r>
      <w:r>
        <w:rPr>
          <w:rFonts w:hint="eastAsia" w:ascii="宋体" w:hAnsi="宋体" w:eastAsia="宋体" w:cs="宋体"/>
          <w:i/>
          <w:iCs/>
          <w:sz w:val="24"/>
          <w:szCs w:val="24"/>
        </w:rPr>
        <w:t>n</w:t>
      </w:r>
      <w:r>
        <w:rPr>
          <w:rFonts w:hint="eastAsia" w:ascii="宋体" w:hAnsi="宋体" w:eastAsia="宋体" w:cs="宋体"/>
          <w:sz w:val="24"/>
          <w:szCs w:val="24"/>
        </w:rPr>
        <w:t>=</w:t>
      </w:r>
      <m:oMath>
        <m:r>
          <m:rPr/>
          <w:rPr>
            <w:rFonts w:hint="eastAsia" w:ascii="Cambria Math" w:hAnsi="Cambria Math" w:eastAsia="宋体" w:cs="宋体"/>
            <w:sz w:val="24"/>
            <w:szCs w:val="24"/>
          </w:rPr>
          <m:t>2×</m:t>
        </m:r>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d>
                  <m:dPr>
                    <m:ctrlPr>
                      <w:rPr>
                        <w:rFonts w:hint="eastAsia" w:ascii="Cambria Math" w:hAnsi="Cambria Math" w:eastAsia="宋体" w:cs="宋体"/>
                        <w:i/>
                        <w:sz w:val="24"/>
                        <w:szCs w:val="24"/>
                      </w:rPr>
                    </m:ctrlPr>
                  </m:dPr>
                  <m:e>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Z</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α</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Z</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β</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e>
                </m:d>
                <m:ctrlPr>
                  <w:rPr>
                    <w:rFonts w:hint="eastAsia" w:ascii="Cambria Math" w:hAnsi="Cambria Math" w:eastAsia="宋体" w:cs="宋体"/>
                    <w:i/>
                    <w:sz w:val="24"/>
                    <w:szCs w:val="24"/>
                  </w:rPr>
                </m:ctrlPr>
              </m:e>
              <m:sup>
                <m:r>
                  <m:rPr/>
                  <w:rPr>
                    <w:rFonts w:hint="eastAsia" w:ascii="Cambria Math" w:hAnsi="Cambria Math" w:eastAsia="宋体" w:cs="宋体"/>
                    <w:sz w:val="24"/>
                    <w:szCs w:val="24"/>
                  </w:rPr>
                  <m:t>2</m:t>
                </m:r>
                <m:ctrlPr>
                  <w:rPr>
                    <w:rFonts w:hint="eastAsia" w:ascii="Cambria Math" w:hAnsi="Cambria Math" w:eastAsia="宋体" w:cs="宋体"/>
                    <w:i/>
                    <w:sz w:val="24"/>
                    <w:szCs w:val="24"/>
                  </w:rPr>
                </m:ctrlPr>
              </m:sup>
            </m:sSup>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σ</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2</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δ</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2</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den>
        </m:f>
      </m:oMath>
      <w:r>
        <w:rPr>
          <w:rFonts w:hint="eastAsia" w:ascii="宋体" w:hAnsi="宋体" w:eastAsia="宋体" w:cs="宋体"/>
          <w:sz w:val="24"/>
          <w:szCs w:val="24"/>
        </w:rPr>
        <w:t>，</w:t>
      </w:r>
      <w:r>
        <w:rPr>
          <w:rFonts w:hint="eastAsia" w:ascii="宋体" w:hAnsi="宋体" w:eastAsia="宋体" w:cs="宋体"/>
          <w:i/>
          <w:iCs/>
          <w:color w:val="000000" w:themeColor="text1"/>
          <w:sz w:val="24"/>
          <w:szCs w:val="24"/>
          <w14:textFill>
            <w14:solidFill>
              <w14:schemeClr w14:val="tx1"/>
            </w14:solidFill>
          </w14:textFill>
        </w:rPr>
        <w:t>δ</w:t>
      </w:r>
      <w:r>
        <w:rPr>
          <w:rFonts w:hint="eastAsia" w:ascii="宋体" w:hAnsi="宋体" w:eastAsia="宋体" w:cs="宋体"/>
          <w:color w:val="000000" w:themeColor="text1"/>
          <w:sz w:val="24"/>
          <w:szCs w:val="24"/>
          <w14:textFill>
            <w14:solidFill>
              <w14:schemeClr w14:val="tx1"/>
            </w14:solidFill>
          </w14:textFill>
        </w:rPr>
        <w:t>为2组情绪状态得分的均数之差，</w:t>
      </w:r>
      <w:r>
        <w:rPr>
          <w:rFonts w:hint="eastAsia" w:ascii="宋体" w:hAnsi="宋体" w:eastAsia="宋体" w:cs="宋体"/>
          <w:i/>
          <w:iCs/>
          <w:color w:val="000000" w:themeColor="text1"/>
          <w:sz w:val="24"/>
          <w:szCs w:val="24"/>
          <w14:textFill>
            <w14:solidFill>
              <w14:schemeClr w14:val="tx1"/>
            </w14:solidFill>
          </w14:textFill>
        </w:rPr>
        <w:t>σ</w:t>
      </w:r>
      <w:r>
        <w:rPr>
          <w:rFonts w:hint="eastAsia" w:ascii="宋体" w:hAnsi="宋体" w:eastAsia="宋体" w:cs="宋体"/>
          <w:color w:val="000000" w:themeColor="text1"/>
          <w:sz w:val="24"/>
          <w:szCs w:val="24"/>
          <w14:textFill>
            <w14:solidFill>
              <w14:schemeClr w14:val="tx1"/>
            </w14:solidFill>
          </w14:textFill>
        </w:rPr>
        <w:t>为总体情绪状态得分的标准差。取</w:t>
      </w:r>
      <w:r>
        <w:rPr>
          <w:rFonts w:hint="eastAsia" w:ascii="宋体" w:hAnsi="宋体" w:eastAsia="宋体" w:cs="宋体"/>
          <w:i/>
          <w:iCs/>
          <w:color w:val="000000" w:themeColor="text1"/>
          <w:sz w:val="24"/>
          <w:szCs w:val="24"/>
          <w14:textFill>
            <w14:solidFill>
              <w14:schemeClr w14:val="tx1"/>
            </w14:solidFill>
          </w14:textFill>
        </w:rPr>
        <w:t>α</w:t>
      </w:r>
      <w:r>
        <w:rPr>
          <w:rFonts w:hint="eastAsia" w:ascii="宋体" w:hAnsi="宋体" w:eastAsia="宋体" w:cs="宋体"/>
          <w:color w:val="000000" w:themeColor="text1"/>
          <w:sz w:val="24"/>
          <w:szCs w:val="24"/>
          <w14:textFill>
            <w14:solidFill>
              <w14:schemeClr w14:val="tx1"/>
            </w14:solidFill>
          </w14:textFill>
        </w:rPr>
        <w:t>为0.05，</w:t>
      </w:r>
      <w:r>
        <w:rPr>
          <w:rFonts w:hint="eastAsia" w:ascii="宋体" w:hAnsi="宋体" w:eastAsia="宋体" w:cs="宋体"/>
          <w:i/>
          <w:iCs/>
          <w:color w:val="000000" w:themeColor="text1"/>
          <w:sz w:val="24"/>
          <w:szCs w:val="24"/>
          <w14:textFill>
            <w14:solidFill>
              <w14:schemeClr w14:val="tx1"/>
            </w14:solidFill>
          </w14:textFill>
        </w:rPr>
        <w:t>β</w:t>
      </w:r>
      <w:r>
        <w:rPr>
          <w:rFonts w:hint="eastAsia" w:ascii="宋体" w:hAnsi="宋体" w:eastAsia="宋体" w:cs="宋体"/>
          <w:color w:val="000000" w:themeColor="text1"/>
          <w:sz w:val="24"/>
          <w:szCs w:val="24"/>
          <w14:textFill>
            <w14:solidFill>
              <w14:schemeClr w14:val="tx1"/>
            </w14:solidFill>
          </w14:textFill>
        </w:rPr>
        <w:t>=0.10，查表得</w:t>
      </w:r>
      <w:r>
        <w:rPr>
          <w:rFonts w:hint="eastAsia" w:ascii="宋体" w:hAnsi="宋体" w:eastAsia="宋体" w:cs="宋体"/>
          <w:i/>
          <w:iCs/>
          <w:color w:val="000000" w:themeColor="text1"/>
          <w:sz w:val="24"/>
          <w:szCs w:val="24"/>
          <w14:textFill>
            <w14:solidFill>
              <w14:schemeClr w14:val="tx1"/>
            </w14:solidFill>
          </w14:textFill>
        </w:rPr>
        <w:t>Z</w:t>
      </w:r>
      <w:r>
        <w:rPr>
          <w:rFonts w:hint="eastAsia" w:ascii="宋体" w:hAnsi="宋体" w:eastAsia="宋体" w:cs="宋体"/>
          <w:i/>
          <w:iCs/>
          <w:color w:val="000000" w:themeColor="text1"/>
          <w:sz w:val="24"/>
          <w:szCs w:val="24"/>
          <w:vertAlign w:val="subscript"/>
          <w14:textFill>
            <w14:solidFill>
              <w14:schemeClr w14:val="tx1"/>
            </w14:solidFill>
          </w14:textFill>
        </w:rPr>
        <w:t>α</w:t>
      </w:r>
      <w:r>
        <w:rPr>
          <w:rFonts w:hint="eastAsia" w:ascii="宋体" w:hAnsi="宋体" w:eastAsia="宋体" w:cs="宋体"/>
          <w:color w:val="000000" w:themeColor="text1"/>
          <w:sz w:val="24"/>
          <w:szCs w:val="24"/>
          <w14:textFill>
            <w14:solidFill>
              <w14:schemeClr w14:val="tx1"/>
            </w14:solidFill>
          </w14:textFill>
        </w:rPr>
        <w:t>=1.645，</w:t>
      </w:r>
      <w:r>
        <w:rPr>
          <w:rFonts w:hint="eastAsia" w:ascii="宋体" w:hAnsi="宋体" w:eastAsia="宋体" w:cs="宋体"/>
          <w:i/>
          <w:iCs/>
          <w:color w:val="000000" w:themeColor="text1"/>
          <w:sz w:val="24"/>
          <w:szCs w:val="24"/>
          <w14:textFill>
            <w14:solidFill>
              <w14:schemeClr w14:val="tx1"/>
            </w14:solidFill>
          </w14:textFill>
        </w:rPr>
        <w:t>Z</w:t>
      </w:r>
      <w:r>
        <w:rPr>
          <w:rFonts w:hint="eastAsia" w:ascii="宋体" w:hAnsi="宋体" w:eastAsia="宋体" w:cs="宋体"/>
          <w:i/>
          <w:iCs/>
          <w:color w:val="000000" w:themeColor="text1"/>
          <w:sz w:val="24"/>
          <w:szCs w:val="24"/>
          <w:vertAlign w:val="subscript"/>
          <w14:textFill>
            <w14:solidFill>
              <w14:schemeClr w14:val="tx1"/>
            </w14:solidFill>
          </w14:textFill>
        </w:rPr>
        <w:t>β</w:t>
      </w:r>
      <w:r>
        <w:rPr>
          <w:rFonts w:hint="eastAsia" w:ascii="宋体" w:hAnsi="宋体" w:eastAsia="宋体" w:cs="宋体"/>
          <w:i/>
          <w:iCs/>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1.282。将周意等</w:t>
      </w:r>
      <w:r>
        <w:rPr>
          <w:rFonts w:hint="eastAsia" w:ascii="宋体" w:hAnsi="宋体" w:eastAsia="宋体" w:cs="宋体"/>
          <w:color w:val="000000" w:themeColor="text1"/>
          <w:sz w:val="24"/>
          <w:szCs w:val="24"/>
          <w:vertAlign w:val="superscript"/>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报道的观察组和对照组情绪状态得分代入公式，计算每组34例；考虑到15%左右计算误差，将每组样本量扩大至40例，总样本量80例。选取2018年2月至2019年2月</w:t>
      </w:r>
      <w:r>
        <w:rPr>
          <w:rFonts w:hint="eastAsia" w:ascii="宋体" w:hAnsi="宋体" w:eastAsia="宋体" w:cs="宋体"/>
          <w:color w:val="000000" w:themeColor="text1"/>
          <w:sz w:val="24"/>
          <w:szCs w:val="24"/>
          <w:lang w:val="en-US" w:eastAsia="zh-CN"/>
          <w14:textFill>
            <w14:solidFill>
              <w14:schemeClr w14:val="tx1"/>
            </w14:solidFill>
          </w14:textFill>
        </w:rPr>
        <w:t>我</w:t>
      </w:r>
      <w:r>
        <w:rPr>
          <w:rFonts w:hint="eastAsia" w:ascii="宋体" w:hAnsi="宋体" w:eastAsia="宋体" w:cs="宋体"/>
          <w:color w:val="000000" w:themeColor="text1"/>
          <w:sz w:val="24"/>
          <w:szCs w:val="24"/>
          <w14:textFill>
            <w14:solidFill>
              <w14:schemeClr w14:val="tx1"/>
            </w14:solidFill>
          </w14:textFill>
        </w:rPr>
        <w:t>院CT磁共振室进行MRI检查的患者80例，按照随机数字表法分为试验组和对照组，每组40例。纳入标准：①年龄＞18岁；②意识清晰，有一定语言沟通和理解能力；③既往有幽闭恐惧症史，即进入检查室或检查时出现呼吸加速、手足出汗、心悸、窒息等临床表现，符合Granet报道</w:t>
      </w:r>
      <w:r>
        <w:rPr>
          <w:rFonts w:hint="eastAsia" w:ascii="宋体" w:hAnsi="宋体" w:eastAsia="宋体" w:cs="宋体"/>
          <w:color w:val="000000" w:themeColor="text1"/>
          <w:sz w:val="24"/>
          <w:szCs w:val="24"/>
          <w:vertAlign w:val="superscript"/>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的幽闭恐惧症诊断标准，并经心理医生确诊为幽闭恐惧症；④自愿参与本次研究。排除标准：①精神异常或其他认知功能障碍者；②合并严重心脏病、高血压、肺动脉高压等患者；③听力障碍或四肢感觉障碍者。</w:t>
      </w:r>
    </w:p>
    <w:p>
      <w:pPr>
        <w:keepNext w:val="0"/>
        <w:keepLines w:val="0"/>
        <w:pageBreakBefore w:val="0"/>
        <w:kinsoku/>
        <w:wordWrap/>
        <w:overflowPunct/>
        <w:topLinePunct w:val="0"/>
        <w:bidi w:val="0"/>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 方法。对照组给予患者本院常规干预措施，包括①检查前向患者详细介绍MRI必要性、安全性及注意事项，告知患者MRI检查非常安全，必要时给予心理支持，缓解患者紧张情绪。②保持检查室安静、整洁，使患者感到舒适。③检查时让患者双耳戴上耳机，播放舒缓音乐来缓解患者紧张情绪，对于幽闭恐惧症较严重的患者可允许1名家属陪同检查。④检查时可与患者保持通话，询问患者的感觉，并予以鼓励和支持。试验组在常规护理基础上实施静默疗法，具体内容如下。①组建研究小组。由</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名诊断组医生</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2名磁共振室护士组成研究小组。研究小组共同制订干预方案，并通过专家讨论、预实验对初稿进行修改，形成终稿。干预前，由诊断组医生对2名磁共振护士进行培训，目的是让护士熟练掌握静默疗法、指导技巧和指导用语。②制订干预方案。查阅文献发现</w:t>
      </w:r>
      <w:r>
        <w:rPr>
          <w:rFonts w:hint="eastAsia" w:ascii="宋体" w:hAnsi="宋体" w:eastAsia="宋体" w:cs="宋体"/>
          <w:color w:val="000000" w:themeColor="text1"/>
          <w:sz w:val="24"/>
          <w:szCs w:val="24"/>
          <w:vertAlign w:val="superscript"/>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静默疗法包括超脱型静默和意念型静默两种类型。超脱型静默相当于一个放大镜，注重对具体物体或事件更深刻的感知，而意念型静默相当于一个广角镜，注重对更大范围的对象产生感知。由于本研究干预时间短，部分患者学习能力偏弱，因此选择更简单、有效的意念型静默疗法。受试者取舒适体位（坐位或仰卧位），双臂自然置于躯体两侧，微闭双目。</w:t>
      </w:r>
      <w:r>
        <w:rPr>
          <w:rFonts w:hint="eastAsia" w:ascii="宋体" w:hAnsi="宋体" w:eastAsia="宋体" w:cs="宋体"/>
          <w:color w:val="000000" w:themeColor="text1"/>
          <w:sz w:val="24"/>
          <w:szCs w:val="24"/>
          <w:lang w:val="en-US" w:eastAsia="zh-CN"/>
          <w14:textFill>
            <w14:solidFill>
              <w14:schemeClr w14:val="tx1"/>
            </w14:solidFill>
          </w14:textFill>
        </w:rPr>
        <w:t>治疗师</w:t>
      </w:r>
      <w:r>
        <w:rPr>
          <w:rFonts w:hint="eastAsia" w:ascii="宋体" w:hAnsi="宋体" w:eastAsia="宋体" w:cs="宋体"/>
          <w:color w:val="000000" w:themeColor="text1"/>
          <w:sz w:val="24"/>
          <w:szCs w:val="24"/>
          <w14:textFill>
            <w14:solidFill>
              <w14:schemeClr w14:val="tx1"/>
            </w14:solidFill>
          </w14:textFill>
        </w:rPr>
        <w:t>用舒缓的语气引导患者按照三线（侧面、前面、后面）从上下到进行肌肉放松训练。随着治疗师的口令，受试者的注意力集中于此部位，深吸气并收缩肌肉10秒，感知紧张状态；然后深呼气并放松肌肉30秒，感知放松感觉。依次放松三条线，在肌肉放松过程中，不必过度在意放松部位是否正确，只要能达到肌肉放松目的即可。③实施干预。由经过培训的共振室护士担任本次干预的治疗师，邀请患者在检查前1天下午到磁共振室，选择相对安静的医生办公室开始实施干预。护士首选询问患者的症状、病情和治疗情况，认真倾听患者的叙述，必要时给予医学建议。待取得患者信任后，向患者介绍静默疗法的原理及临床应用。用统一指导语介绍具体实施步骤，如：“为了让您明天顺利完成检查，我向您介绍一种避免恐惧心理的放松方法，即静默疗法。”“请您闭上眼睛，把身体想象成前面（头面部、胸前、腹部、两腿前侧、脚背、脚趾）、侧面（头颈、肩胛、上臂外侧、肘外侧、手背、指尖）和后面（后脑、颈外侧、背部、臀部、下肢后侧、脚底）。”“当我说到一个部位时，请您将注意力集中于此，有意识收缩此处肌肉，心中默数到10，再默念‘松’，并放松此处肌肉30秒。” 治疗师先带患者练习1～2遍，鼓励其就不懂之处进行提问，然后再自行练习2～3遍，同时纠正其错误之处，直至完全掌握练习技巧，嘱检查者回家后继续练习。第2天检查时，让患者提前1小时到检查室，由治疗师指导患者再次练习2～3遍，告知过度恐惧不能控制时，可自行练习静默疗法。</w:t>
      </w:r>
    </w:p>
    <w:p>
      <w:pPr>
        <w:keepNext w:val="0"/>
        <w:keepLines w:val="0"/>
        <w:pageBreakBefore w:val="0"/>
        <w:kinsoku/>
        <w:wordWrap/>
        <w:overflowPunct/>
        <w:topLinePunct w:val="0"/>
        <w:bidi w:val="0"/>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 观察指标。①检查指标。记录患者检查时间、检查成功率和检查时自主神经症状发生率。检查成功：患者1次性顺利完成检查；或患者检查过程中无法配合需中断检查，再次沟通后顺利完成检查。自主神经症状：指患者在检查过程中出现心悸、呼吸急促、手足出汗、狂躁、频死感等症状。②情绪状态。采用心境状态量表（profile of mood states, POMS），原量表由</w:t>
      </w:r>
      <w:r>
        <w:rPr>
          <w:rFonts w:hint="eastAsia" w:ascii="宋体" w:hAnsi="宋体" w:eastAsia="宋体" w:cs="宋体"/>
          <w:color w:val="000000"/>
          <w:sz w:val="24"/>
          <w:szCs w:val="24"/>
        </w:rPr>
        <w:t>Grove</w:t>
      </w:r>
      <w:r>
        <w:rPr>
          <w:rFonts w:hint="eastAsia" w:ascii="宋体" w:hAnsi="宋体" w:eastAsia="宋体" w:cs="宋体"/>
          <w:color w:val="000000" w:themeColor="text1"/>
          <w:sz w:val="24"/>
          <w:szCs w:val="24"/>
          <w14:textFill>
            <w14:solidFill>
              <w14:schemeClr w14:val="tx1"/>
            </w14:solidFill>
          </w14:textFill>
        </w:rPr>
        <w:t>编制</w:t>
      </w:r>
      <w:r>
        <w:rPr>
          <w:rFonts w:hint="eastAsia" w:ascii="宋体" w:hAnsi="宋体" w:eastAsia="宋体" w:cs="宋体"/>
          <w:color w:val="000000" w:themeColor="text1"/>
          <w:sz w:val="24"/>
          <w:szCs w:val="24"/>
          <w:vertAlign w:val="superscript"/>
          <w14:textFill>
            <w14:solidFill>
              <w14:schemeClr w14:val="tx1"/>
            </w14:solidFill>
          </w14:textFill>
        </w:rPr>
        <w:t>[11]</w:t>
      </w:r>
      <w:r>
        <w:rPr>
          <w:rFonts w:hint="eastAsia" w:ascii="宋体" w:hAnsi="宋体" w:eastAsia="宋体" w:cs="宋体"/>
          <w:color w:val="000000" w:themeColor="text1"/>
          <w:sz w:val="24"/>
          <w:szCs w:val="24"/>
          <w14:textFill>
            <w14:solidFill>
              <w14:schemeClr w14:val="tx1"/>
            </w14:solidFill>
          </w14:textFill>
        </w:rPr>
        <w:t>，主要用于评价受试者的心理状态。祝蓓里</w:t>
      </w:r>
      <w:r>
        <w:rPr>
          <w:rFonts w:hint="eastAsia" w:ascii="宋体" w:hAnsi="宋体" w:eastAsia="宋体" w:cs="宋体"/>
          <w:color w:val="000000" w:themeColor="text1"/>
          <w:sz w:val="24"/>
          <w:szCs w:val="24"/>
          <w:vertAlign w:val="superscript"/>
          <w14:textFill>
            <w14:solidFill>
              <w14:schemeClr w14:val="tx1"/>
            </w14:solidFill>
          </w14:textFill>
        </w:rPr>
        <w:t>[12]</w:t>
      </w:r>
      <w:r>
        <w:rPr>
          <w:rFonts w:hint="eastAsia" w:ascii="宋体" w:hAnsi="宋体" w:eastAsia="宋体" w:cs="宋体"/>
          <w:color w:val="000000" w:themeColor="text1"/>
          <w:sz w:val="24"/>
          <w:szCs w:val="24"/>
          <w14:textFill>
            <w14:solidFill>
              <w14:schemeClr w14:val="tx1"/>
            </w14:solidFill>
          </w14:textFill>
        </w:rPr>
        <w:t>将POMS量表修订并引入国内，证实中文版PMOS量表的信度为0.62～0.82，重测信度0.60，适用于中国人群的情绪状态研究。中文版PMOS包括7个分量表：紧张6个条目，压抑6个条目，愤怒7个条目，精力6个条目、自尊心5个条目，疲劳5个条目，慌乱5个条目，每项按照likert 5级评分法，从“全无”到“非常多”分别赋值0～4分，总分为5个消极情绪得分（紧张、压抑、愤怒、疲劳、慌乱）减去2个积极情绪得分（精力、自尊心），再加上常数100。POMS得分越高，代表情绪状态越差，即心情纷乱、烦闷或失调。</w:t>
      </w:r>
    </w:p>
    <w:p>
      <w:pPr>
        <w:keepNext w:val="0"/>
        <w:keepLines w:val="0"/>
        <w:pageBreakBefore w:val="0"/>
        <w:kinsoku/>
        <w:wordWrap/>
        <w:overflowPunct/>
        <w:topLinePunct w:val="0"/>
        <w:bidi w:val="0"/>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 资料收集。检查前，由磁共振室护士向患者发放自行编制的一般资料调查表和POMS问卷，用统一指导语指导患者填写，POMS问卷要求在5分钟内填写完成。检查后再次向患者发放POMS问卷（未完成检查的患者在中断检查后填写问卷），问卷当场发放当场回收，并当场检查问卷质量。</w:t>
      </w:r>
    </w:p>
    <w:p>
      <w:pPr>
        <w:keepNext w:val="0"/>
        <w:keepLines w:val="0"/>
        <w:pageBreakBefore w:val="0"/>
        <w:kinsoku/>
        <w:wordWrap/>
        <w:overflowPunct/>
        <w:topLinePunct w:val="0"/>
        <w:bidi w:val="0"/>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5 统计学方法。</w:t>
      </w:r>
      <w:r>
        <w:rPr>
          <w:rFonts w:hint="eastAsia" w:ascii="宋体" w:hAnsi="宋体" w:eastAsia="宋体" w:cs="宋体"/>
          <w:color w:val="000000" w:themeColor="text1"/>
          <w:sz w:val="24"/>
          <w:szCs w:val="24"/>
          <w14:textFill>
            <w14:solidFill>
              <w14:schemeClr w14:val="tx1"/>
            </w14:solidFill>
          </w14:textFill>
        </w:rPr>
        <w:t>数据处理采用SPSS 17.0统计学软件。经检验符合正态分布的计量资料用</w:t>
      </w:r>
      <w:r>
        <w:rPr>
          <w:rFonts w:hint="eastAsia" w:ascii="宋体" w:hAnsi="宋体" w:eastAsia="宋体" w:cs="宋体"/>
          <w:color w:val="000000" w:themeColor="text1"/>
          <w:position w:val="-6"/>
          <w:sz w:val="24"/>
          <w:szCs w:val="24"/>
          <w14:textFill>
            <w14:solidFill>
              <w14:schemeClr w14:val="tx1"/>
            </w14:solidFill>
          </w14:textFill>
        </w:rPr>
        <w:object>
          <v:shape id="_x0000_i1025" o:spt="75" type="#_x0000_t75" style="height:11.25pt;width:10.5pt;" o:ole="t" filled="f" o:preferrelative="t" stroked="f" coordsize="21600,21600">
            <v:path/>
            <v:fill on="f" focussize="0,0"/>
            <v:stroke on="f" joinstyle="miter"/>
            <v:imagedata r:id="rId32" o:title=""/>
            <o:lock v:ext="edit" aspectratio="t"/>
            <w10:wrap type="none"/>
            <w10:anchorlock/>
          </v:shape>
          <o:OLEObject Type="Embed" ProgID="Equation.3" ShapeID="_x0000_i1025" DrawAspect="Content" ObjectID="_1468075725" r:id="rId31">
            <o:LockedField>false</o:LockedField>
          </o:OLEObject>
        </w:object>
      </w:r>
      <w:r>
        <w:rPr>
          <w:rFonts w:hint="eastAsia" w:ascii="宋体" w:hAnsi="宋体" w:eastAsia="宋体" w:cs="宋体"/>
          <w:color w:val="000000" w:themeColor="text1"/>
          <w:sz w:val="24"/>
          <w:szCs w:val="24"/>
          <w14:textFill>
            <w14:solidFill>
              <w14:schemeClr w14:val="tx1"/>
            </w14:solidFill>
          </w14:textFill>
        </w:rPr>
        <w:t>±s表示，2组间计量资料比较采用独立样本</w:t>
      </w:r>
      <w:r>
        <w:rPr>
          <w:rFonts w:hint="eastAsia" w:ascii="宋体" w:hAnsi="宋体" w:eastAsia="宋体" w:cs="宋体"/>
          <w:i/>
          <w:iCs/>
          <w:color w:val="000000" w:themeColor="text1"/>
          <w:sz w:val="24"/>
          <w:szCs w:val="24"/>
          <w14:textFill>
            <w14:solidFill>
              <w14:schemeClr w14:val="tx1"/>
            </w14:solidFill>
          </w14:textFill>
        </w:rPr>
        <w:t>t</w:t>
      </w:r>
      <w:r>
        <w:rPr>
          <w:rFonts w:hint="eastAsia" w:ascii="宋体" w:hAnsi="宋体" w:eastAsia="宋体" w:cs="宋体"/>
          <w:color w:val="000000" w:themeColor="text1"/>
          <w:sz w:val="24"/>
          <w:szCs w:val="24"/>
          <w14:textFill>
            <w14:solidFill>
              <w14:schemeClr w14:val="tx1"/>
            </w14:solidFill>
          </w14:textFill>
        </w:rPr>
        <w:t>检验。计数资料以百分比表示，2组间比较采用</w:t>
      </w:r>
      <w:r>
        <w:rPr>
          <w:rFonts w:hint="eastAsia" w:ascii="宋体" w:hAnsi="宋体" w:eastAsia="宋体" w:cs="宋体"/>
          <w:bCs/>
          <w:i/>
          <w:color w:val="000000" w:themeColor="text1"/>
          <w:sz w:val="24"/>
          <w:szCs w:val="24"/>
          <w14:textFill>
            <w14:solidFill>
              <w14:schemeClr w14:val="tx1"/>
            </w14:solidFill>
          </w14:textFill>
        </w:rPr>
        <w:t>χ</w:t>
      </w:r>
      <w:r>
        <w:rPr>
          <w:rFonts w:hint="eastAsia" w:ascii="宋体" w:hAnsi="宋体" w:eastAsia="宋体" w:cs="宋体"/>
          <w:bCs/>
          <w:color w:val="000000" w:themeColor="text1"/>
          <w:sz w:val="24"/>
          <w:szCs w:val="24"/>
          <w:vertAlign w:val="superscript"/>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检验或Fisher精确概率法。</w:t>
      </w:r>
      <w:r>
        <w:rPr>
          <w:rFonts w:hint="eastAsia" w:ascii="宋体" w:hAnsi="宋体" w:eastAsia="宋体" w:cs="宋体"/>
          <w:i/>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＜0.05为差异有统计学意义。</w:t>
      </w:r>
    </w:p>
    <w:p>
      <w:pPr>
        <w:spacing w:line="36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结果</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试验组和对照组一般资料比较。2组患者性别、年龄、文化程度、宗教信仰、检查部位等一般资料差异无统计学意义（</w:t>
      </w:r>
      <w:r>
        <w:rPr>
          <w:rFonts w:hint="eastAsia" w:ascii="宋体" w:hAnsi="宋体" w:eastAsia="宋体" w:cs="宋体"/>
          <w:i/>
          <w:iCs/>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＞0.05），见表1。</w:t>
      </w:r>
    </w:p>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表1  试验组和对照组一般资料比较</w:t>
      </w:r>
    </w:p>
    <w:tbl>
      <w:tblPr>
        <w:tblStyle w:val="11"/>
        <w:tblW w:w="11789"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01"/>
        <w:gridCol w:w="681"/>
        <w:gridCol w:w="682"/>
        <w:gridCol w:w="682"/>
        <w:gridCol w:w="1656"/>
        <w:gridCol w:w="681"/>
        <w:gridCol w:w="681"/>
        <w:gridCol w:w="680"/>
        <w:gridCol w:w="681"/>
        <w:gridCol w:w="1058"/>
        <w:gridCol w:w="932"/>
        <w:gridCol w:w="1058"/>
        <w:gridCol w:w="809"/>
        <w:gridCol w:w="707"/>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42" w:hRule="atLeast"/>
          <w:jc w:val="center"/>
        </w:trPr>
        <w:tc>
          <w:tcPr>
            <w:tcW w:w="846" w:type="dxa"/>
            <w:vMerge w:val="restart"/>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组别</w:t>
            </w:r>
          </w:p>
        </w:tc>
        <w:tc>
          <w:tcPr>
            <w:tcW w:w="709" w:type="dxa"/>
            <w:vMerge w:val="restart"/>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例数</w:t>
            </w:r>
          </w:p>
        </w:tc>
        <w:tc>
          <w:tcPr>
            <w:tcW w:w="1417" w:type="dxa"/>
            <w:gridSpan w:val="2"/>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性别（例）</w:t>
            </w:r>
          </w:p>
        </w:tc>
        <w:tc>
          <w:tcPr>
            <w:tcW w:w="1134" w:type="dxa"/>
            <w:vMerge w:val="restart"/>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年龄（岁）</w:t>
            </w:r>
          </w:p>
        </w:tc>
        <w:tc>
          <w:tcPr>
            <w:tcW w:w="2835" w:type="dxa"/>
            <w:gridSpan w:val="4"/>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检查部位（例）</w:t>
            </w:r>
          </w:p>
        </w:tc>
        <w:tc>
          <w:tcPr>
            <w:tcW w:w="3260" w:type="dxa"/>
            <w:gridSpan w:val="3"/>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文化程度（例）</w:t>
            </w:r>
          </w:p>
        </w:tc>
        <w:tc>
          <w:tcPr>
            <w:tcW w:w="1588" w:type="dxa"/>
            <w:gridSpan w:val="2"/>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宗教信仰（例）</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42" w:hRule="atLeast"/>
          <w:jc w:val="center"/>
        </w:trPr>
        <w:tc>
          <w:tcPr>
            <w:tcW w:w="846" w:type="dxa"/>
            <w:vMerge w:val="continue"/>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709" w:type="dxa"/>
            <w:vMerge w:val="continue"/>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708"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男</w:t>
            </w:r>
          </w:p>
        </w:tc>
        <w:tc>
          <w:tcPr>
            <w:tcW w:w="709"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女</w:t>
            </w:r>
          </w:p>
        </w:tc>
        <w:tc>
          <w:tcPr>
            <w:tcW w:w="1134" w:type="dxa"/>
            <w:vMerge w:val="continue"/>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709"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头部</w:t>
            </w:r>
          </w:p>
        </w:tc>
        <w:tc>
          <w:tcPr>
            <w:tcW w:w="709"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腹部</w:t>
            </w:r>
          </w:p>
        </w:tc>
        <w:tc>
          <w:tcPr>
            <w:tcW w:w="708"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胸部</w:t>
            </w:r>
          </w:p>
        </w:tc>
        <w:tc>
          <w:tcPr>
            <w:tcW w:w="709"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脊柱</w:t>
            </w:r>
          </w:p>
        </w:tc>
        <w:tc>
          <w:tcPr>
            <w:tcW w:w="1134" w:type="dxa"/>
            <w:tcBorders>
              <w:bottom w:val="single" w:color="auto" w:sz="4" w:space="0"/>
            </w:tcBorders>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初中及以下</w:t>
            </w:r>
          </w:p>
        </w:tc>
        <w:tc>
          <w:tcPr>
            <w:tcW w:w="992"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高中/中专</w:t>
            </w:r>
          </w:p>
        </w:tc>
        <w:tc>
          <w:tcPr>
            <w:tcW w:w="1134"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大专及以上</w:t>
            </w:r>
          </w:p>
        </w:tc>
        <w:tc>
          <w:tcPr>
            <w:tcW w:w="851"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有</w:t>
            </w:r>
          </w:p>
        </w:tc>
        <w:tc>
          <w:tcPr>
            <w:tcW w:w="737"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65" w:hRule="atLeast"/>
          <w:jc w:val="center"/>
        </w:trPr>
        <w:tc>
          <w:tcPr>
            <w:tcW w:w="846"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试验组</w:t>
            </w:r>
          </w:p>
        </w:tc>
        <w:tc>
          <w:tcPr>
            <w:tcW w:w="709"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40</w:t>
            </w:r>
          </w:p>
        </w:tc>
        <w:tc>
          <w:tcPr>
            <w:tcW w:w="708"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27</w:t>
            </w:r>
          </w:p>
        </w:tc>
        <w:tc>
          <w:tcPr>
            <w:tcW w:w="709"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w:t>
            </w:r>
          </w:p>
        </w:tc>
        <w:tc>
          <w:tcPr>
            <w:tcW w:w="1134"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47.85±14.92</w:t>
            </w:r>
          </w:p>
        </w:tc>
        <w:tc>
          <w:tcPr>
            <w:tcW w:w="709"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27</w:t>
            </w:r>
          </w:p>
        </w:tc>
        <w:tc>
          <w:tcPr>
            <w:tcW w:w="709"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p>
        </w:tc>
        <w:tc>
          <w:tcPr>
            <w:tcW w:w="708"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p>
        </w:tc>
        <w:tc>
          <w:tcPr>
            <w:tcW w:w="709"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p>
        </w:tc>
        <w:tc>
          <w:tcPr>
            <w:tcW w:w="1134" w:type="dxa"/>
            <w:tcBorders>
              <w:bottom w:val="nil"/>
            </w:tcBorders>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w:t>
            </w:r>
          </w:p>
        </w:tc>
        <w:tc>
          <w:tcPr>
            <w:tcW w:w="992"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19</w:t>
            </w:r>
          </w:p>
        </w:tc>
        <w:tc>
          <w:tcPr>
            <w:tcW w:w="1134"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w:t>
            </w:r>
          </w:p>
        </w:tc>
        <w:tc>
          <w:tcPr>
            <w:tcW w:w="851"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p>
        </w:tc>
        <w:tc>
          <w:tcPr>
            <w:tcW w:w="737"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 w:hRule="atLeast"/>
          <w:jc w:val="center"/>
        </w:trPr>
        <w:tc>
          <w:tcPr>
            <w:tcW w:w="846"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对照组</w:t>
            </w:r>
          </w:p>
        </w:tc>
        <w:tc>
          <w:tcPr>
            <w:tcW w:w="709"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40</w:t>
            </w:r>
          </w:p>
        </w:tc>
        <w:tc>
          <w:tcPr>
            <w:tcW w:w="708"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w:t>
            </w:r>
          </w:p>
        </w:tc>
        <w:tc>
          <w:tcPr>
            <w:tcW w:w="709"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w:t>
            </w:r>
          </w:p>
        </w:tc>
        <w:tc>
          <w:tcPr>
            <w:tcW w:w="1134"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46.55±16.21</w:t>
            </w:r>
          </w:p>
        </w:tc>
        <w:tc>
          <w:tcPr>
            <w:tcW w:w="709"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w:t>
            </w:r>
          </w:p>
        </w:tc>
        <w:tc>
          <w:tcPr>
            <w:tcW w:w="709"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w:t>
            </w:r>
          </w:p>
        </w:tc>
        <w:tc>
          <w:tcPr>
            <w:tcW w:w="708"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w:t>
            </w:r>
          </w:p>
        </w:tc>
        <w:tc>
          <w:tcPr>
            <w:tcW w:w="709"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p>
        </w:tc>
        <w:tc>
          <w:tcPr>
            <w:tcW w:w="1134" w:type="dxa"/>
            <w:tcBorders>
              <w:top w:val="nil"/>
              <w:bottom w:val="nil"/>
            </w:tcBorders>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w:t>
            </w:r>
          </w:p>
        </w:tc>
        <w:tc>
          <w:tcPr>
            <w:tcW w:w="992"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17</w:t>
            </w:r>
          </w:p>
        </w:tc>
        <w:tc>
          <w:tcPr>
            <w:tcW w:w="1134"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w:t>
            </w:r>
          </w:p>
        </w:tc>
        <w:tc>
          <w:tcPr>
            <w:tcW w:w="851"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p>
        </w:tc>
        <w:tc>
          <w:tcPr>
            <w:tcW w:w="737"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4" w:hRule="atLeast"/>
          <w:jc w:val="center"/>
        </w:trPr>
        <w:tc>
          <w:tcPr>
            <w:tcW w:w="846"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iCs/>
                <w:color w:val="000000" w:themeColor="text1"/>
                <w:sz w:val="24"/>
                <w:szCs w:val="24"/>
                <w14:textFill>
                  <w14:solidFill>
                    <w14:schemeClr w14:val="tx1"/>
                  </w14:solidFill>
                </w14:textFill>
              </w:rPr>
              <w:t>t</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bCs/>
                <w:i/>
                <w:color w:val="000000" w:themeColor="text1"/>
                <w:sz w:val="24"/>
                <w:szCs w:val="24"/>
                <w14:textFill>
                  <w14:solidFill>
                    <w14:schemeClr w14:val="tx1"/>
                  </w14:solidFill>
                </w14:textFill>
              </w:rPr>
              <w:t>χ</w:t>
            </w:r>
            <w:r>
              <w:rPr>
                <w:rFonts w:hint="eastAsia" w:ascii="宋体" w:hAnsi="宋体" w:eastAsia="宋体" w:cs="宋体"/>
                <w:bCs/>
                <w:color w:val="000000" w:themeColor="text1"/>
                <w:sz w:val="24"/>
                <w:szCs w:val="24"/>
                <w:vertAlign w:val="superscript"/>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值</w:t>
            </w:r>
          </w:p>
        </w:tc>
        <w:tc>
          <w:tcPr>
            <w:tcW w:w="709"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7" w:type="dxa"/>
            <w:gridSpan w:val="2"/>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0.487</w:t>
            </w:r>
          </w:p>
        </w:tc>
        <w:tc>
          <w:tcPr>
            <w:tcW w:w="1134"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0.373</w:t>
            </w:r>
          </w:p>
        </w:tc>
        <w:tc>
          <w:tcPr>
            <w:tcW w:w="2835" w:type="dxa"/>
            <w:gridSpan w:val="4"/>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3.993</w:t>
            </w:r>
          </w:p>
        </w:tc>
        <w:tc>
          <w:tcPr>
            <w:tcW w:w="3260" w:type="dxa"/>
            <w:gridSpan w:val="3"/>
            <w:tcBorders>
              <w:top w:val="nil"/>
              <w:bottom w:val="nil"/>
            </w:tcBorders>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1.154</w:t>
            </w:r>
          </w:p>
        </w:tc>
        <w:tc>
          <w:tcPr>
            <w:tcW w:w="1588" w:type="dxa"/>
            <w:gridSpan w:val="2"/>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1.053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48" w:hRule="atLeast"/>
          <w:jc w:val="center"/>
        </w:trPr>
        <w:tc>
          <w:tcPr>
            <w:tcW w:w="846" w:type="dxa"/>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iCs/>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值</w:t>
            </w:r>
          </w:p>
        </w:tc>
        <w:tc>
          <w:tcPr>
            <w:tcW w:w="709" w:type="dxa"/>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7" w:type="dxa"/>
            <w:gridSpan w:val="2"/>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0.485</w:t>
            </w:r>
          </w:p>
        </w:tc>
        <w:tc>
          <w:tcPr>
            <w:tcW w:w="1134" w:type="dxa"/>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0.710</w:t>
            </w:r>
          </w:p>
        </w:tc>
        <w:tc>
          <w:tcPr>
            <w:tcW w:w="2835" w:type="dxa"/>
            <w:gridSpan w:val="4"/>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0.279</w:t>
            </w:r>
          </w:p>
        </w:tc>
        <w:tc>
          <w:tcPr>
            <w:tcW w:w="3260" w:type="dxa"/>
            <w:gridSpan w:val="3"/>
            <w:tcBorders>
              <w:top w:val="nil"/>
            </w:tcBorders>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0.562</w:t>
            </w:r>
          </w:p>
        </w:tc>
        <w:tc>
          <w:tcPr>
            <w:tcW w:w="1588" w:type="dxa"/>
            <w:gridSpan w:val="2"/>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0.615</w:t>
            </w:r>
          </w:p>
        </w:tc>
      </w:tr>
    </w:tbl>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 试验组和对照组检查指标比较。与对照组相比，试验组检查时间明显缩短，检查成功率明显增加，并且试验组心悸、手足出汗、狂躁、频死感等自主神经症状发生率明显低于对照组，差异有统计学意义（</w:t>
      </w:r>
      <w:r>
        <w:rPr>
          <w:rFonts w:hint="eastAsia" w:ascii="宋体" w:hAnsi="宋体" w:eastAsia="宋体" w:cs="宋体"/>
          <w:i/>
          <w:iCs/>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＜0.05），见表2。</w:t>
      </w:r>
    </w:p>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表2  试验组和对照组检查指标比较</w:t>
      </w:r>
    </w:p>
    <w:tbl>
      <w:tblPr>
        <w:tblStyle w:val="11"/>
        <w:tblW w:w="11761"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12"/>
        <w:gridCol w:w="912"/>
        <w:gridCol w:w="1693"/>
        <w:gridCol w:w="1414"/>
        <w:gridCol w:w="1413"/>
        <w:gridCol w:w="1414"/>
        <w:gridCol w:w="1413"/>
        <w:gridCol w:w="1176"/>
        <w:gridCol w:w="141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921" w:type="dxa"/>
            <w:vMerge w:val="restart"/>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组别</w:t>
            </w:r>
          </w:p>
        </w:tc>
        <w:tc>
          <w:tcPr>
            <w:tcW w:w="921" w:type="dxa"/>
            <w:vMerge w:val="restart"/>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例数</w:t>
            </w:r>
          </w:p>
        </w:tc>
        <w:tc>
          <w:tcPr>
            <w:tcW w:w="1697" w:type="dxa"/>
            <w:vMerge w:val="restart"/>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检查时间（分钟）</w:t>
            </w:r>
          </w:p>
        </w:tc>
        <w:tc>
          <w:tcPr>
            <w:tcW w:w="1418" w:type="dxa"/>
            <w:vMerge w:val="restart"/>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检查成功[n(%)]</w:t>
            </w:r>
          </w:p>
        </w:tc>
        <w:tc>
          <w:tcPr>
            <w:tcW w:w="6804" w:type="dxa"/>
            <w:gridSpan w:val="5"/>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自主神经症状[n(%)]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921" w:type="dxa"/>
            <w:vMerge w:val="continue"/>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921" w:type="dxa"/>
            <w:vMerge w:val="continue"/>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697" w:type="dxa"/>
            <w:vMerge w:val="continue"/>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8" w:type="dxa"/>
            <w:vMerge w:val="continue"/>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7"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心悸</w:t>
            </w:r>
          </w:p>
        </w:tc>
        <w:tc>
          <w:tcPr>
            <w:tcW w:w="1418"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呼吸急促</w:t>
            </w:r>
          </w:p>
        </w:tc>
        <w:tc>
          <w:tcPr>
            <w:tcW w:w="1417"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手足出汗</w:t>
            </w:r>
          </w:p>
        </w:tc>
        <w:tc>
          <w:tcPr>
            <w:tcW w:w="1134"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狂躁</w:t>
            </w:r>
          </w:p>
        </w:tc>
        <w:tc>
          <w:tcPr>
            <w:tcW w:w="1418" w:type="dxa"/>
            <w:tcBorders>
              <w:bottom w:val="single" w:color="auto" w:sz="4" w:space="0"/>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频死感</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921"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试验组</w:t>
            </w:r>
          </w:p>
        </w:tc>
        <w:tc>
          <w:tcPr>
            <w:tcW w:w="921"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40</w:t>
            </w:r>
          </w:p>
        </w:tc>
        <w:tc>
          <w:tcPr>
            <w:tcW w:w="1697"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15.68±3.74</w:t>
            </w:r>
          </w:p>
        </w:tc>
        <w:tc>
          <w:tcPr>
            <w:tcW w:w="1418"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37（92.5）</w:t>
            </w:r>
          </w:p>
        </w:tc>
        <w:tc>
          <w:tcPr>
            <w:tcW w:w="1417"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7（17.5）</w:t>
            </w:r>
          </w:p>
        </w:tc>
        <w:tc>
          <w:tcPr>
            <w:tcW w:w="1418"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15（37.5）</w:t>
            </w:r>
          </w:p>
        </w:tc>
        <w:tc>
          <w:tcPr>
            <w:tcW w:w="1417"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11（27.5）</w:t>
            </w:r>
          </w:p>
        </w:tc>
        <w:tc>
          <w:tcPr>
            <w:tcW w:w="1134"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5（12.5）</w:t>
            </w:r>
          </w:p>
        </w:tc>
        <w:tc>
          <w:tcPr>
            <w:tcW w:w="1418" w:type="dxa"/>
            <w:tcBorders>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5（12.5）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921"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对照组</w:t>
            </w:r>
          </w:p>
        </w:tc>
        <w:tc>
          <w:tcPr>
            <w:tcW w:w="921"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40</w:t>
            </w:r>
          </w:p>
        </w:tc>
        <w:tc>
          <w:tcPr>
            <w:tcW w:w="1697"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18.10±4.68</w:t>
            </w:r>
          </w:p>
        </w:tc>
        <w:tc>
          <w:tcPr>
            <w:tcW w:w="1418"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21（52.5）</w:t>
            </w:r>
          </w:p>
        </w:tc>
        <w:tc>
          <w:tcPr>
            <w:tcW w:w="1417"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15（37.5）</w:t>
            </w:r>
          </w:p>
        </w:tc>
        <w:tc>
          <w:tcPr>
            <w:tcW w:w="1418"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23（57.5）</w:t>
            </w:r>
          </w:p>
        </w:tc>
        <w:tc>
          <w:tcPr>
            <w:tcW w:w="1417"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23（57.5）</w:t>
            </w:r>
          </w:p>
        </w:tc>
        <w:tc>
          <w:tcPr>
            <w:tcW w:w="1134"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13（32.5）</w:t>
            </w:r>
          </w:p>
        </w:tc>
        <w:tc>
          <w:tcPr>
            <w:tcW w:w="1418"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14（35.0）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921"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iCs/>
                <w:color w:val="000000" w:themeColor="text1"/>
                <w:sz w:val="24"/>
                <w:szCs w:val="24"/>
                <w14:textFill>
                  <w14:solidFill>
                    <w14:schemeClr w14:val="tx1"/>
                  </w14:solidFill>
                </w14:textFill>
              </w:rPr>
              <w:t>t</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bCs/>
                <w:i/>
                <w:color w:val="000000" w:themeColor="text1"/>
                <w:sz w:val="24"/>
                <w:szCs w:val="24"/>
                <w14:textFill>
                  <w14:solidFill>
                    <w14:schemeClr w14:val="tx1"/>
                  </w14:solidFill>
                </w14:textFill>
              </w:rPr>
              <w:t>χ</w:t>
            </w:r>
            <w:r>
              <w:rPr>
                <w:rFonts w:hint="eastAsia" w:ascii="宋体" w:hAnsi="宋体" w:eastAsia="宋体" w:cs="宋体"/>
                <w:bCs/>
                <w:color w:val="000000" w:themeColor="text1"/>
                <w:sz w:val="24"/>
                <w:szCs w:val="24"/>
                <w:vertAlign w:val="superscript"/>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值</w:t>
            </w:r>
          </w:p>
        </w:tc>
        <w:tc>
          <w:tcPr>
            <w:tcW w:w="921"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697"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2.559</w:t>
            </w:r>
          </w:p>
        </w:tc>
        <w:tc>
          <w:tcPr>
            <w:tcW w:w="1418"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16.050</w:t>
            </w:r>
          </w:p>
        </w:tc>
        <w:tc>
          <w:tcPr>
            <w:tcW w:w="1417"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4.013</w:t>
            </w:r>
          </w:p>
        </w:tc>
        <w:tc>
          <w:tcPr>
            <w:tcW w:w="1418"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3.028</w:t>
            </w:r>
          </w:p>
        </w:tc>
        <w:tc>
          <w:tcPr>
            <w:tcW w:w="1417"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7.366</w:t>
            </w:r>
          </w:p>
        </w:tc>
        <w:tc>
          <w:tcPr>
            <w:tcW w:w="1134"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4.588</w:t>
            </w:r>
          </w:p>
        </w:tc>
        <w:tc>
          <w:tcPr>
            <w:tcW w:w="1418" w:type="dxa"/>
            <w:tcBorders>
              <w:top w:val="nil"/>
              <w:bottom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5.591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921" w:type="dxa"/>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iCs/>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值</w:t>
            </w:r>
          </w:p>
        </w:tc>
        <w:tc>
          <w:tcPr>
            <w:tcW w:w="921" w:type="dxa"/>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697" w:type="dxa"/>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0.012</w:t>
            </w:r>
          </w:p>
        </w:tc>
        <w:tc>
          <w:tcPr>
            <w:tcW w:w="1418" w:type="dxa"/>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0.000</w:t>
            </w:r>
          </w:p>
        </w:tc>
        <w:tc>
          <w:tcPr>
            <w:tcW w:w="1417" w:type="dxa"/>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0.045</w:t>
            </w:r>
          </w:p>
        </w:tc>
        <w:tc>
          <w:tcPr>
            <w:tcW w:w="1418" w:type="dxa"/>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0.073</w:t>
            </w:r>
          </w:p>
        </w:tc>
        <w:tc>
          <w:tcPr>
            <w:tcW w:w="1417" w:type="dxa"/>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0.007</w:t>
            </w:r>
          </w:p>
        </w:tc>
        <w:tc>
          <w:tcPr>
            <w:tcW w:w="1134" w:type="dxa"/>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0.032</w:t>
            </w:r>
          </w:p>
        </w:tc>
        <w:tc>
          <w:tcPr>
            <w:tcW w:w="1418" w:type="dxa"/>
            <w:tcBorders>
              <w:top w:val="nil"/>
            </w:tcBorders>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0.018</w:t>
            </w:r>
          </w:p>
        </w:tc>
      </w:tr>
    </w:tbl>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 试验组和对照组检查前后情绪状态比较。检查前，2组患者POMS各分量表得分及总分差异无统计学意义（</w:t>
      </w:r>
      <w:r>
        <w:rPr>
          <w:rFonts w:hint="eastAsia" w:ascii="宋体" w:hAnsi="宋体" w:eastAsia="宋体" w:cs="宋体"/>
          <w:i/>
          <w:iCs/>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＞0.05）；检查后，试验组POMS量表得分显著减少，且试验组紧张、压抑、慌乱分量表得分及总分明显低于对照组，精力、自尊心分量表得分明显高于对照组，差异有统计学意义（</w:t>
      </w:r>
      <w:r>
        <w:rPr>
          <w:rFonts w:hint="eastAsia" w:ascii="宋体" w:hAnsi="宋体" w:eastAsia="宋体" w:cs="宋体"/>
          <w:i/>
          <w:iCs/>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＜0.05），见表3。</w:t>
      </w:r>
    </w:p>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表3  试验组和对照组检查前后POMS得分比较</w:t>
      </w:r>
    </w:p>
    <w:tbl>
      <w:tblPr>
        <w:tblStyle w:val="11"/>
        <w:tblW w:w="11761"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52"/>
        <w:gridCol w:w="691"/>
        <w:gridCol w:w="1418"/>
        <w:gridCol w:w="1416"/>
        <w:gridCol w:w="980"/>
        <w:gridCol w:w="980"/>
        <w:gridCol w:w="1682"/>
        <w:gridCol w:w="1418"/>
        <w:gridCol w:w="1112"/>
        <w:gridCol w:w="1112"/>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988"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组别</w:t>
            </w:r>
          </w:p>
        </w:tc>
        <w:tc>
          <w:tcPr>
            <w:tcW w:w="708"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例数</w:t>
            </w:r>
          </w:p>
        </w:tc>
        <w:tc>
          <w:tcPr>
            <w:tcW w:w="2694" w:type="dxa"/>
            <w:gridSpan w:val="2"/>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紧张</w:t>
            </w:r>
          </w:p>
        </w:tc>
        <w:tc>
          <w:tcPr>
            <w:tcW w:w="992"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t</w:t>
            </w:r>
            <w:r>
              <w:rPr>
                <w:rFonts w:hint="eastAsia" w:ascii="宋体" w:hAnsi="宋体" w:eastAsia="宋体" w:cs="宋体"/>
                <w:color w:val="000000" w:themeColor="text1"/>
                <w:sz w:val="24"/>
                <w:szCs w:val="24"/>
                <w14:textFill>
                  <w14:solidFill>
                    <w14:schemeClr w14:val="tx1"/>
                  </w14:solidFill>
                </w14:textFill>
              </w:rPr>
              <w:t>值</w:t>
            </w:r>
          </w:p>
        </w:tc>
        <w:tc>
          <w:tcPr>
            <w:tcW w:w="992"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值</w:t>
            </w:r>
          </w:p>
        </w:tc>
        <w:tc>
          <w:tcPr>
            <w:tcW w:w="3119" w:type="dxa"/>
            <w:gridSpan w:val="2"/>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压抑</w:t>
            </w:r>
          </w:p>
        </w:tc>
        <w:tc>
          <w:tcPr>
            <w:tcW w:w="1134"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t</w:t>
            </w:r>
            <w:r>
              <w:rPr>
                <w:rFonts w:hint="eastAsia" w:ascii="宋体" w:hAnsi="宋体" w:eastAsia="宋体" w:cs="宋体"/>
                <w:color w:val="000000" w:themeColor="text1"/>
                <w:sz w:val="24"/>
                <w:szCs w:val="24"/>
                <w14:textFill>
                  <w14:solidFill>
                    <w14:schemeClr w14:val="tx1"/>
                  </w14:solidFill>
                </w14:textFill>
              </w:rPr>
              <w:t>值</w:t>
            </w:r>
          </w:p>
        </w:tc>
        <w:tc>
          <w:tcPr>
            <w:tcW w:w="1134"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值</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988"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708"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1418"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检查前</w:t>
            </w:r>
          </w:p>
        </w:tc>
        <w:tc>
          <w:tcPr>
            <w:tcW w:w="1276"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检查后</w:t>
            </w:r>
          </w:p>
        </w:tc>
        <w:tc>
          <w:tcPr>
            <w:tcW w:w="992"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992"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1701"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检查前</w:t>
            </w:r>
          </w:p>
        </w:tc>
        <w:tc>
          <w:tcPr>
            <w:tcW w:w="1418"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检查后</w:t>
            </w:r>
          </w:p>
        </w:tc>
        <w:tc>
          <w:tcPr>
            <w:tcW w:w="1134"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1134"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988"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试验组</w:t>
            </w:r>
          </w:p>
        </w:tc>
        <w:tc>
          <w:tcPr>
            <w:tcW w:w="708"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40</w:t>
            </w:r>
          </w:p>
        </w:tc>
        <w:tc>
          <w:tcPr>
            <w:tcW w:w="1418"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7.70</w:t>
            </w:r>
            <w:r>
              <w:rPr>
                <w:rFonts w:hint="eastAsia" w:ascii="宋体" w:hAnsi="宋体" w:eastAsia="宋体" w:cs="宋体"/>
                <w:color w:val="000000" w:themeColor="text1"/>
                <w:sz w:val="24"/>
                <w:szCs w:val="24"/>
                <w14:textFill>
                  <w14:solidFill>
                    <w14:schemeClr w14:val="tx1"/>
                  </w14:solidFill>
                </w14:textFill>
              </w:rPr>
              <w:t>±2.47</w:t>
            </w:r>
          </w:p>
        </w:tc>
        <w:tc>
          <w:tcPr>
            <w:tcW w:w="1276"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5.68</w:t>
            </w:r>
            <w:r>
              <w:rPr>
                <w:rFonts w:hint="eastAsia" w:ascii="宋体" w:hAnsi="宋体" w:eastAsia="宋体" w:cs="宋体"/>
                <w:color w:val="000000" w:themeColor="text1"/>
                <w:sz w:val="24"/>
                <w:szCs w:val="24"/>
                <w14:textFill>
                  <w14:solidFill>
                    <w14:schemeClr w14:val="tx1"/>
                  </w14:solidFill>
                </w14:textFill>
              </w:rPr>
              <w:t>±1.16</w:t>
            </w:r>
          </w:p>
        </w:tc>
        <w:tc>
          <w:tcPr>
            <w:tcW w:w="992"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5.009</w:t>
            </w:r>
          </w:p>
        </w:tc>
        <w:tc>
          <w:tcPr>
            <w:tcW w:w="992"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0.000</w:t>
            </w:r>
          </w:p>
        </w:tc>
        <w:tc>
          <w:tcPr>
            <w:tcW w:w="1701"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6.88</w:t>
            </w:r>
            <w:r>
              <w:rPr>
                <w:rFonts w:hint="eastAsia" w:ascii="宋体" w:hAnsi="宋体" w:eastAsia="宋体" w:cs="宋体"/>
                <w:color w:val="000000" w:themeColor="text1"/>
                <w:sz w:val="24"/>
                <w:szCs w:val="24"/>
                <w14:textFill>
                  <w14:solidFill>
                    <w14:schemeClr w14:val="tx1"/>
                  </w14:solidFill>
                </w14:textFill>
              </w:rPr>
              <w:t>±2.56</w:t>
            </w:r>
          </w:p>
        </w:tc>
        <w:tc>
          <w:tcPr>
            <w:tcW w:w="1418"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4.65</w:t>
            </w:r>
            <w:r>
              <w:rPr>
                <w:rFonts w:hint="eastAsia" w:ascii="宋体" w:hAnsi="宋体" w:eastAsia="宋体" w:cs="宋体"/>
                <w:color w:val="000000" w:themeColor="text1"/>
                <w:sz w:val="24"/>
                <w:szCs w:val="24"/>
                <w14:textFill>
                  <w14:solidFill>
                    <w14:schemeClr w14:val="tx1"/>
                  </w14:solidFill>
                </w14:textFill>
              </w:rPr>
              <w:t>±2.07</w:t>
            </w:r>
          </w:p>
        </w:tc>
        <w:tc>
          <w:tcPr>
            <w:tcW w:w="1134"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4.860</w:t>
            </w:r>
          </w:p>
        </w:tc>
        <w:tc>
          <w:tcPr>
            <w:tcW w:w="1134"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988"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对照组</w:t>
            </w:r>
          </w:p>
        </w:tc>
        <w:tc>
          <w:tcPr>
            <w:tcW w:w="708"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40</w:t>
            </w:r>
          </w:p>
        </w:tc>
        <w:tc>
          <w:tcPr>
            <w:tcW w:w="1418"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8.13</w:t>
            </w:r>
            <w:r>
              <w:rPr>
                <w:rFonts w:hint="eastAsia" w:ascii="宋体" w:hAnsi="宋体" w:eastAsia="宋体" w:cs="宋体"/>
                <w:color w:val="000000" w:themeColor="text1"/>
                <w:sz w:val="24"/>
                <w:szCs w:val="24"/>
                <w14:textFill>
                  <w14:solidFill>
                    <w14:schemeClr w14:val="tx1"/>
                  </w14:solidFill>
                </w14:textFill>
              </w:rPr>
              <w:t>±2.73</w:t>
            </w:r>
          </w:p>
        </w:tc>
        <w:tc>
          <w:tcPr>
            <w:tcW w:w="1276"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8.10</w:t>
            </w:r>
            <w:r>
              <w:rPr>
                <w:rFonts w:hint="eastAsia" w:ascii="宋体" w:hAnsi="宋体" w:eastAsia="宋体" w:cs="宋体"/>
                <w:color w:val="000000" w:themeColor="text1"/>
                <w:sz w:val="24"/>
                <w:szCs w:val="24"/>
                <w14:textFill>
                  <w14:solidFill>
                    <w14:schemeClr w14:val="tx1"/>
                  </w14:solidFill>
                </w14:textFill>
              </w:rPr>
              <w:t>±1.79</w:t>
            </w:r>
          </w:p>
        </w:tc>
        <w:tc>
          <w:tcPr>
            <w:tcW w:w="992"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0.042</w:t>
            </w:r>
          </w:p>
        </w:tc>
        <w:tc>
          <w:tcPr>
            <w:tcW w:w="992"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0.967</w:t>
            </w:r>
          </w:p>
        </w:tc>
        <w:tc>
          <w:tcPr>
            <w:tcW w:w="1701"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6.70</w:t>
            </w:r>
            <w:r>
              <w:rPr>
                <w:rFonts w:hint="eastAsia" w:ascii="宋体" w:hAnsi="宋体" w:eastAsia="宋体" w:cs="宋体"/>
                <w:color w:val="000000" w:themeColor="text1"/>
                <w:sz w:val="24"/>
                <w:szCs w:val="24"/>
                <w14:textFill>
                  <w14:solidFill>
                    <w14:schemeClr w14:val="tx1"/>
                  </w14:solidFill>
                </w14:textFill>
              </w:rPr>
              <w:t>±2.32</w:t>
            </w:r>
          </w:p>
        </w:tc>
        <w:tc>
          <w:tcPr>
            <w:tcW w:w="1418"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5.90</w:t>
            </w:r>
            <w:r>
              <w:rPr>
                <w:rFonts w:hint="eastAsia" w:ascii="宋体" w:hAnsi="宋体" w:eastAsia="宋体" w:cs="宋体"/>
                <w:color w:val="000000" w:themeColor="text1"/>
                <w:sz w:val="24"/>
                <w:szCs w:val="24"/>
                <w14:textFill>
                  <w14:solidFill>
                    <w14:schemeClr w14:val="tx1"/>
                  </w14:solidFill>
                </w14:textFill>
              </w:rPr>
              <w:t>±2.21</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2.026</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0.051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988"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t</w:t>
            </w:r>
            <w:r>
              <w:rPr>
                <w:rFonts w:hint="eastAsia" w:ascii="宋体" w:hAnsi="宋体" w:eastAsia="宋体" w:cs="宋体"/>
                <w:color w:val="000000" w:themeColor="text1"/>
                <w:sz w:val="24"/>
                <w:szCs w:val="24"/>
                <w14:textFill>
                  <w14:solidFill>
                    <w14:schemeClr w14:val="tx1"/>
                  </w14:solidFill>
                </w14:textFill>
              </w:rPr>
              <w:t>值</w:t>
            </w:r>
          </w:p>
        </w:tc>
        <w:tc>
          <w:tcPr>
            <w:tcW w:w="708" w:type="dxa"/>
            <w:tcBorders>
              <w:top w:val="nil"/>
              <w:bottom w:val="nil"/>
            </w:tcBorders>
            <w:vAlign w:val="center"/>
          </w:tcPr>
          <w:p>
            <w:pPr>
              <w:spacing w:line="360" w:lineRule="auto"/>
              <w:jc w:val="center"/>
              <w:rPr>
                <w:rFonts w:hint="eastAsia" w:ascii="宋体" w:hAnsi="宋体" w:eastAsia="宋体" w:cs="宋体"/>
                <w:sz w:val="24"/>
                <w:szCs w:val="24"/>
              </w:rPr>
            </w:pPr>
          </w:p>
        </w:tc>
        <w:tc>
          <w:tcPr>
            <w:tcW w:w="1418"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0.730</w:t>
            </w:r>
          </w:p>
        </w:tc>
        <w:tc>
          <w:tcPr>
            <w:tcW w:w="1276"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7.171</w:t>
            </w:r>
          </w:p>
        </w:tc>
        <w:tc>
          <w:tcPr>
            <w:tcW w:w="992" w:type="dxa"/>
            <w:tcBorders>
              <w:top w:val="nil"/>
              <w:bottom w:val="nil"/>
            </w:tcBorders>
            <w:vAlign w:val="center"/>
          </w:tcPr>
          <w:p>
            <w:pPr>
              <w:spacing w:line="360" w:lineRule="auto"/>
              <w:jc w:val="center"/>
              <w:rPr>
                <w:rFonts w:hint="eastAsia" w:ascii="宋体" w:hAnsi="宋体" w:eastAsia="宋体" w:cs="宋体"/>
                <w:sz w:val="24"/>
                <w:szCs w:val="24"/>
              </w:rPr>
            </w:pPr>
          </w:p>
        </w:tc>
        <w:tc>
          <w:tcPr>
            <w:tcW w:w="992" w:type="dxa"/>
            <w:tcBorders>
              <w:top w:val="nil"/>
              <w:bottom w:val="nil"/>
            </w:tcBorders>
            <w:vAlign w:val="center"/>
          </w:tcPr>
          <w:p>
            <w:pPr>
              <w:spacing w:line="360" w:lineRule="auto"/>
              <w:jc w:val="center"/>
              <w:rPr>
                <w:rFonts w:hint="eastAsia" w:ascii="宋体" w:hAnsi="宋体" w:eastAsia="宋体" w:cs="宋体"/>
                <w:sz w:val="24"/>
                <w:szCs w:val="24"/>
              </w:rPr>
            </w:pPr>
          </w:p>
        </w:tc>
        <w:tc>
          <w:tcPr>
            <w:tcW w:w="1701"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0.320</w:t>
            </w:r>
          </w:p>
        </w:tc>
        <w:tc>
          <w:tcPr>
            <w:tcW w:w="1418"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2.607</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988"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值</w:t>
            </w:r>
          </w:p>
        </w:tc>
        <w:tc>
          <w:tcPr>
            <w:tcW w:w="708" w:type="dxa"/>
            <w:tcBorders>
              <w:top w:val="nil"/>
            </w:tcBorders>
            <w:vAlign w:val="center"/>
          </w:tcPr>
          <w:p>
            <w:pPr>
              <w:spacing w:line="360" w:lineRule="auto"/>
              <w:jc w:val="center"/>
              <w:rPr>
                <w:rFonts w:hint="eastAsia" w:ascii="宋体" w:hAnsi="宋体" w:eastAsia="宋体" w:cs="宋体"/>
                <w:sz w:val="24"/>
                <w:szCs w:val="24"/>
              </w:rPr>
            </w:pPr>
          </w:p>
        </w:tc>
        <w:tc>
          <w:tcPr>
            <w:tcW w:w="1418"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0.468</w:t>
            </w:r>
          </w:p>
        </w:tc>
        <w:tc>
          <w:tcPr>
            <w:tcW w:w="1276"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0.000</w:t>
            </w:r>
          </w:p>
        </w:tc>
        <w:tc>
          <w:tcPr>
            <w:tcW w:w="992" w:type="dxa"/>
            <w:tcBorders>
              <w:top w:val="nil"/>
            </w:tcBorders>
            <w:vAlign w:val="center"/>
          </w:tcPr>
          <w:p>
            <w:pPr>
              <w:spacing w:line="360" w:lineRule="auto"/>
              <w:jc w:val="center"/>
              <w:rPr>
                <w:rFonts w:hint="eastAsia" w:ascii="宋体" w:hAnsi="宋体" w:eastAsia="宋体" w:cs="宋体"/>
                <w:sz w:val="24"/>
                <w:szCs w:val="24"/>
              </w:rPr>
            </w:pPr>
          </w:p>
        </w:tc>
        <w:tc>
          <w:tcPr>
            <w:tcW w:w="992" w:type="dxa"/>
            <w:tcBorders>
              <w:top w:val="nil"/>
            </w:tcBorders>
            <w:vAlign w:val="center"/>
          </w:tcPr>
          <w:p>
            <w:pPr>
              <w:spacing w:line="360" w:lineRule="auto"/>
              <w:jc w:val="center"/>
              <w:rPr>
                <w:rFonts w:hint="eastAsia" w:ascii="宋体" w:hAnsi="宋体" w:eastAsia="宋体" w:cs="宋体"/>
                <w:sz w:val="24"/>
                <w:szCs w:val="24"/>
              </w:rPr>
            </w:pPr>
          </w:p>
        </w:tc>
        <w:tc>
          <w:tcPr>
            <w:tcW w:w="1701"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0.750</w:t>
            </w:r>
          </w:p>
        </w:tc>
        <w:tc>
          <w:tcPr>
            <w:tcW w:w="1418"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0.011</w:t>
            </w:r>
          </w:p>
        </w:tc>
        <w:tc>
          <w:tcPr>
            <w:tcW w:w="1134" w:type="dxa"/>
            <w:tcBorders>
              <w:top w:val="nil"/>
            </w:tcBorders>
            <w:vAlign w:val="center"/>
          </w:tcPr>
          <w:p>
            <w:pPr>
              <w:spacing w:line="360" w:lineRule="auto"/>
              <w:jc w:val="center"/>
              <w:rPr>
                <w:rFonts w:hint="eastAsia" w:ascii="宋体" w:hAnsi="宋体" w:eastAsia="宋体" w:cs="宋体"/>
                <w:sz w:val="24"/>
                <w:szCs w:val="24"/>
              </w:rPr>
            </w:pPr>
          </w:p>
        </w:tc>
        <w:tc>
          <w:tcPr>
            <w:tcW w:w="1134" w:type="dxa"/>
            <w:tcBorders>
              <w:top w:val="nil"/>
            </w:tcBorders>
            <w:vAlign w:val="center"/>
          </w:tcPr>
          <w:p>
            <w:pPr>
              <w:spacing w:line="360" w:lineRule="auto"/>
              <w:jc w:val="center"/>
              <w:rPr>
                <w:rFonts w:hint="eastAsia" w:ascii="宋体" w:hAnsi="宋体" w:eastAsia="宋体" w:cs="宋体"/>
                <w:sz w:val="24"/>
                <w:szCs w:val="24"/>
              </w:rPr>
            </w:pPr>
          </w:p>
        </w:tc>
      </w:tr>
    </w:tbl>
    <w:p>
      <w:pPr>
        <w:snapToGrid w:val="0"/>
        <w:spacing w:line="360" w:lineRule="auto"/>
        <w:rPr>
          <w:rFonts w:hint="eastAsia" w:ascii="宋体" w:hAnsi="宋体" w:eastAsia="宋体" w:cs="宋体"/>
          <w:sz w:val="24"/>
          <w:szCs w:val="24"/>
        </w:rPr>
      </w:pPr>
    </w:p>
    <w:tbl>
      <w:tblPr>
        <w:tblStyle w:val="11"/>
        <w:tblW w:w="11761"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416"/>
        <w:gridCol w:w="1416"/>
        <w:gridCol w:w="816"/>
        <w:gridCol w:w="816"/>
        <w:gridCol w:w="1416"/>
        <w:gridCol w:w="1416"/>
        <w:gridCol w:w="816"/>
        <w:gridCol w:w="816"/>
        <w:gridCol w:w="1416"/>
        <w:gridCol w:w="1416"/>
        <w:gridCol w:w="816"/>
        <w:gridCol w:w="81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263" w:type="dxa"/>
            <w:gridSpan w:val="2"/>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愤怒</w:t>
            </w:r>
          </w:p>
        </w:tc>
        <w:tc>
          <w:tcPr>
            <w:tcW w:w="709"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t</w:t>
            </w:r>
            <w:r>
              <w:rPr>
                <w:rFonts w:hint="eastAsia" w:ascii="宋体" w:hAnsi="宋体" w:eastAsia="宋体" w:cs="宋体"/>
                <w:color w:val="000000" w:themeColor="text1"/>
                <w:sz w:val="24"/>
                <w:szCs w:val="24"/>
                <w14:textFill>
                  <w14:solidFill>
                    <w14:schemeClr w14:val="tx1"/>
                  </w14:solidFill>
                </w14:textFill>
              </w:rPr>
              <w:t>值</w:t>
            </w:r>
          </w:p>
        </w:tc>
        <w:tc>
          <w:tcPr>
            <w:tcW w:w="709"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值</w:t>
            </w:r>
          </w:p>
        </w:tc>
        <w:tc>
          <w:tcPr>
            <w:tcW w:w="2268" w:type="dxa"/>
            <w:gridSpan w:val="2"/>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疲劳</w:t>
            </w:r>
          </w:p>
        </w:tc>
        <w:tc>
          <w:tcPr>
            <w:tcW w:w="850"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t</w:t>
            </w:r>
            <w:r>
              <w:rPr>
                <w:rFonts w:hint="eastAsia" w:ascii="宋体" w:hAnsi="宋体" w:eastAsia="宋体" w:cs="宋体"/>
                <w:color w:val="000000" w:themeColor="text1"/>
                <w:sz w:val="24"/>
                <w:szCs w:val="24"/>
                <w14:textFill>
                  <w14:solidFill>
                    <w14:schemeClr w14:val="tx1"/>
                  </w14:solidFill>
                </w14:textFill>
              </w:rPr>
              <w:t>值</w:t>
            </w:r>
          </w:p>
        </w:tc>
        <w:tc>
          <w:tcPr>
            <w:tcW w:w="851"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值</w:t>
            </w:r>
          </w:p>
        </w:tc>
        <w:tc>
          <w:tcPr>
            <w:tcW w:w="2410" w:type="dxa"/>
            <w:gridSpan w:val="2"/>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慌乱</w:t>
            </w:r>
          </w:p>
        </w:tc>
        <w:tc>
          <w:tcPr>
            <w:tcW w:w="850"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t</w:t>
            </w:r>
            <w:r>
              <w:rPr>
                <w:rFonts w:hint="eastAsia" w:ascii="宋体" w:hAnsi="宋体" w:eastAsia="宋体" w:cs="宋体"/>
                <w:color w:val="000000" w:themeColor="text1"/>
                <w:sz w:val="24"/>
                <w:szCs w:val="24"/>
                <w14:textFill>
                  <w14:solidFill>
                    <w14:schemeClr w14:val="tx1"/>
                  </w14:solidFill>
                </w14:textFill>
              </w:rPr>
              <w:t>值</w:t>
            </w:r>
          </w:p>
        </w:tc>
        <w:tc>
          <w:tcPr>
            <w:tcW w:w="851"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值</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129"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检查前</w:t>
            </w:r>
          </w:p>
        </w:tc>
        <w:tc>
          <w:tcPr>
            <w:tcW w:w="1134"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检查后</w:t>
            </w:r>
          </w:p>
        </w:tc>
        <w:tc>
          <w:tcPr>
            <w:tcW w:w="709"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709"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1134"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检查前</w:t>
            </w:r>
          </w:p>
        </w:tc>
        <w:tc>
          <w:tcPr>
            <w:tcW w:w="1134"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检查后</w:t>
            </w:r>
          </w:p>
        </w:tc>
        <w:tc>
          <w:tcPr>
            <w:tcW w:w="850"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851"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1134"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检查前</w:t>
            </w:r>
          </w:p>
        </w:tc>
        <w:tc>
          <w:tcPr>
            <w:tcW w:w="1276"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检查后</w:t>
            </w:r>
          </w:p>
        </w:tc>
        <w:tc>
          <w:tcPr>
            <w:tcW w:w="850"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851"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129"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6.33</w:t>
            </w:r>
            <w:r>
              <w:rPr>
                <w:rFonts w:hint="eastAsia" w:ascii="宋体" w:hAnsi="宋体" w:eastAsia="宋体" w:cs="宋体"/>
                <w:color w:val="000000" w:themeColor="text1"/>
                <w:sz w:val="24"/>
                <w:szCs w:val="24"/>
                <w14:textFill>
                  <w14:solidFill>
                    <w14:schemeClr w14:val="tx1"/>
                  </w14:solidFill>
                </w14:textFill>
              </w:rPr>
              <w:t>±2.02</w:t>
            </w:r>
          </w:p>
        </w:tc>
        <w:tc>
          <w:tcPr>
            <w:tcW w:w="1134"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5.05</w:t>
            </w:r>
            <w:r>
              <w:rPr>
                <w:rFonts w:hint="eastAsia" w:ascii="宋体" w:hAnsi="宋体" w:eastAsia="宋体" w:cs="宋体"/>
                <w:color w:val="000000" w:themeColor="text1"/>
                <w:sz w:val="24"/>
                <w:szCs w:val="24"/>
                <w14:textFill>
                  <w14:solidFill>
                    <w14:schemeClr w14:val="tx1"/>
                  </w14:solidFill>
                </w14:textFill>
              </w:rPr>
              <w:t>±1.92</w:t>
            </w:r>
          </w:p>
        </w:tc>
        <w:tc>
          <w:tcPr>
            <w:tcW w:w="709"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2.654</w:t>
            </w:r>
          </w:p>
        </w:tc>
        <w:tc>
          <w:tcPr>
            <w:tcW w:w="709"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0.011</w:t>
            </w:r>
          </w:p>
        </w:tc>
        <w:tc>
          <w:tcPr>
            <w:tcW w:w="1134"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5.65</w:t>
            </w:r>
            <w:r>
              <w:rPr>
                <w:rFonts w:hint="eastAsia" w:ascii="宋体" w:hAnsi="宋体" w:eastAsia="宋体" w:cs="宋体"/>
                <w:color w:val="000000" w:themeColor="text1"/>
                <w:sz w:val="24"/>
                <w:szCs w:val="24"/>
                <w14:textFill>
                  <w14:solidFill>
                    <w14:schemeClr w14:val="tx1"/>
                  </w14:solidFill>
                </w14:textFill>
              </w:rPr>
              <w:t>±1.66</w:t>
            </w:r>
          </w:p>
        </w:tc>
        <w:tc>
          <w:tcPr>
            <w:tcW w:w="1134"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3.18</w:t>
            </w:r>
            <w:r>
              <w:rPr>
                <w:rFonts w:hint="eastAsia" w:ascii="宋体" w:hAnsi="宋体" w:eastAsia="宋体" w:cs="宋体"/>
                <w:color w:val="000000" w:themeColor="text1"/>
                <w:sz w:val="24"/>
                <w:szCs w:val="24"/>
                <w14:textFill>
                  <w14:solidFill>
                    <w14:schemeClr w14:val="tx1"/>
                  </w14:solidFill>
                </w14:textFill>
              </w:rPr>
              <w:t>±1.52</w:t>
            </w:r>
          </w:p>
        </w:tc>
        <w:tc>
          <w:tcPr>
            <w:tcW w:w="850"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7.168</w:t>
            </w:r>
          </w:p>
        </w:tc>
        <w:tc>
          <w:tcPr>
            <w:tcW w:w="851"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0.000</w:t>
            </w:r>
          </w:p>
        </w:tc>
        <w:tc>
          <w:tcPr>
            <w:tcW w:w="1134"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6.65</w:t>
            </w:r>
            <w:r>
              <w:rPr>
                <w:rFonts w:hint="eastAsia" w:ascii="宋体" w:hAnsi="宋体" w:eastAsia="宋体" w:cs="宋体"/>
                <w:color w:val="000000" w:themeColor="text1"/>
                <w:sz w:val="24"/>
                <w:szCs w:val="24"/>
                <w14:textFill>
                  <w14:solidFill>
                    <w14:schemeClr w14:val="tx1"/>
                  </w14:solidFill>
                </w14:textFill>
              </w:rPr>
              <w:t>±2.34</w:t>
            </w:r>
          </w:p>
        </w:tc>
        <w:tc>
          <w:tcPr>
            <w:tcW w:w="1276"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4.45</w:t>
            </w:r>
            <w:r>
              <w:rPr>
                <w:rFonts w:hint="eastAsia" w:ascii="宋体" w:hAnsi="宋体" w:eastAsia="宋体" w:cs="宋体"/>
                <w:color w:val="000000" w:themeColor="text1"/>
                <w:sz w:val="24"/>
                <w:szCs w:val="24"/>
                <w14:textFill>
                  <w14:solidFill>
                    <w14:schemeClr w14:val="tx1"/>
                  </w14:solidFill>
                </w14:textFill>
              </w:rPr>
              <w:t>±1.66</w:t>
            </w:r>
          </w:p>
        </w:tc>
        <w:tc>
          <w:tcPr>
            <w:tcW w:w="850"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4.655</w:t>
            </w:r>
          </w:p>
        </w:tc>
        <w:tc>
          <w:tcPr>
            <w:tcW w:w="851"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129"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6.50</w:t>
            </w:r>
            <w:r>
              <w:rPr>
                <w:rFonts w:hint="eastAsia" w:ascii="宋体" w:hAnsi="宋体" w:eastAsia="宋体" w:cs="宋体"/>
                <w:color w:val="000000" w:themeColor="text1"/>
                <w:sz w:val="24"/>
                <w:szCs w:val="24"/>
                <w14:textFill>
                  <w14:solidFill>
                    <w14:schemeClr w14:val="tx1"/>
                  </w14:solidFill>
                </w14:textFill>
              </w:rPr>
              <w:t>±2.24</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5.80</w:t>
            </w:r>
            <w:r>
              <w:rPr>
                <w:rFonts w:hint="eastAsia" w:ascii="宋体" w:hAnsi="宋体" w:eastAsia="宋体" w:cs="宋体"/>
                <w:color w:val="000000" w:themeColor="text1"/>
                <w:sz w:val="24"/>
                <w:szCs w:val="24"/>
                <w14:textFill>
                  <w14:solidFill>
                    <w14:schemeClr w14:val="tx1"/>
                  </w14:solidFill>
                </w14:textFill>
              </w:rPr>
              <w:t>±2.48</w:t>
            </w:r>
          </w:p>
        </w:tc>
        <w:tc>
          <w:tcPr>
            <w:tcW w:w="709"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1.361</w:t>
            </w:r>
          </w:p>
        </w:tc>
        <w:tc>
          <w:tcPr>
            <w:tcW w:w="709"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0.181</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5.15</w:t>
            </w:r>
            <w:r>
              <w:rPr>
                <w:rFonts w:hint="eastAsia" w:ascii="宋体" w:hAnsi="宋体" w:eastAsia="宋体" w:cs="宋体"/>
                <w:color w:val="000000" w:themeColor="text1"/>
                <w:sz w:val="24"/>
                <w:szCs w:val="24"/>
                <w14:textFill>
                  <w14:solidFill>
                    <w14:schemeClr w14:val="tx1"/>
                  </w14:solidFill>
                </w14:textFill>
              </w:rPr>
              <w:t>±1.37</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3.78</w:t>
            </w:r>
            <w:r>
              <w:rPr>
                <w:rFonts w:hint="eastAsia" w:ascii="宋体" w:hAnsi="宋体" w:eastAsia="宋体" w:cs="宋体"/>
                <w:color w:val="000000" w:themeColor="text1"/>
                <w:sz w:val="24"/>
                <w:szCs w:val="24"/>
                <w14:textFill>
                  <w14:solidFill>
                    <w14:schemeClr w14:val="tx1"/>
                  </w14:solidFill>
                </w14:textFill>
              </w:rPr>
              <w:t>±1.64</w:t>
            </w:r>
          </w:p>
        </w:tc>
        <w:tc>
          <w:tcPr>
            <w:tcW w:w="850"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3.846</w:t>
            </w:r>
          </w:p>
        </w:tc>
        <w:tc>
          <w:tcPr>
            <w:tcW w:w="851"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0.000</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6.70</w:t>
            </w:r>
            <w:r>
              <w:rPr>
                <w:rFonts w:hint="eastAsia" w:ascii="宋体" w:hAnsi="宋体" w:eastAsia="宋体" w:cs="宋体"/>
                <w:color w:val="000000" w:themeColor="text1"/>
                <w:sz w:val="24"/>
                <w:szCs w:val="24"/>
                <w14:textFill>
                  <w14:solidFill>
                    <w14:schemeClr w14:val="tx1"/>
                  </w14:solidFill>
                </w14:textFill>
              </w:rPr>
              <w:t>±2.80</w:t>
            </w:r>
          </w:p>
        </w:tc>
        <w:tc>
          <w:tcPr>
            <w:tcW w:w="1276"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5.78</w:t>
            </w:r>
            <w:r>
              <w:rPr>
                <w:rFonts w:hint="eastAsia" w:ascii="宋体" w:hAnsi="宋体" w:eastAsia="宋体" w:cs="宋体"/>
                <w:color w:val="000000" w:themeColor="text1"/>
                <w:sz w:val="24"/>
                <w:szCs w:val="24"/>
                <w14:textFill>
                  <w14:solidFill>
                    <w14:schemeClr w14:val="tx1"/>
                  </w14:solidFill>
                </w14:textFill>
              </w:rPr>
              <w:t>±2.61</w:t>
            </w:r>
          </w:p>
        </w:tc>
        <w:tc>
          <w:tcPr>
            <w:tcW w:w="850"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1.666</w:t>
            </w:r>
          </w:p>
        </w:tc>
        <w:tc>
          <w:tcPr>
            <w:tcW w:w="851"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0.104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129"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0.367</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1.511</w:t>
            </w:r>
          </w:p>
        </w:tc>
        <w:tc>
          <w:tcPr>
            <w:tcW w:w="709" w:type="dxa"/>
            <w:tcBorders>
              <w:top w:val="nil"/>
              <w:bottom w:val="nil"/>
            </w:tcBorders>
            <w:vAlign w:val="center"/>
          </w:tcPr>
          <w:p>
            <w:pPr>
              <w:spacing w:line="360" w:lineRule="auto"/>
              <w:jc w:val="center"/>
              <w:rPr>
                <w:rFonts w:hint="eastAsia" w:ascii="宋体" w:hAnsi="宋体" w:eastAsia="宋体" w:cs="宋体"/>
                <w:sz w:val="24"/>
                <w:szCs w:val="24"/>
              </w:rPr>
            </w:pPr>
          </w:p>
        </w:tc>
        <w:tc>
          <w:tcPr>
            <w:tcW w:w="709" w:type="dxa"/>
            <w:tcBorders>
              <w:top w:val="nil"/>
              <w:bottom w:val="nil"/>
            </w:tcBorders>
            <w:vAlign w:val="center"/>
          </w:tcPr>
          <w:p>
            <w:pPr>
              <w:spacing w:line="360" w:lineRule="auto"/>
              <w:jc w:val="center"/>
              <w:rPr>
                <w:rFonts w:hint="eastAsia" w:ascii="宋体" w:hAnsi="宋体" w:eastAsia="宋体" w:cs="宋体"/>
                <w:sz w:val="24"/>
                <w:szCs w:val="24"/>
              </w:rPr>
            </w:pP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1.471</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1.698</w:t>
            </w:r>
          </w:p>
        </w:tc>
        <w:tc>
          <w:tcPr>
            <w:tcW w:w="850" w:type="dxa"/>
            <w:tcBorders>
              <w:top w:val="nil"/>
              <w:bottom w:val="nil"/>
            </w:tcBorders>
            <w:vAlign w:val="center"/>
          </w:tcPr>
          <w:p>
            <w:pPr>
              <w:spacing w:line="360" w:lineRule="auto"/>
              <w:jc w:val="center"/>
              <w:rPr>
                <w:rFonts w:hint="eastAsia" w:ascii="宋体" w:hAnsi="宋体" w:eastAsia="宋体" w:cs="宋体"/>
                <w:sz w:val="24"/>
                <w:szCs w:val="24"/>
              </w:rPr>
            </w:pPr>
          </w:p>
        </w:tc>
        <w:tc>
          <w:tcPr>
            <w:tcW w:w="851" w:type="dxa"/>
            <w:tcBorders>
              <w:top w:val="nil"/>
              <w:bottom w:val="nil"/>
            </w:tcBorders>
            <w:vAlign w:val="center"/>
          </w:tcPr>
          <w:p>
            <w:pPr>
              <w:spacing w:line="360" w:lineRule="auto"/>
              <w:jc w:val="center"/>
              <w:rPr>
                <w:rFonts w:hint="eastAsia" w:ascii="宋体" w:hAnsi="宋体" w:eastAsia="宋体" w:cs="宋体"/>
                <w:sz w:val="24"/>
                <w:szCs w:val="24"/>
              </w:rPr>
            </w:pP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0.087</w:t>
            </w:r>
          </w:p>
        </w:tc>
        <w:tc>
          <w:tcPr>
            <w:tcW w:w="1276"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2.710</w:t>
            </w:r>
          </w:p>
        </w:tc>
        <w:tc>
          <w:tcPr>
            <w:tcW w:w="850" w:type="dxa"/>
            <w:tcBorders>
              <w:top w:val="nil"/>
              <w:bottom w:val="nil"/>
            </w:tcBorders>
            <w:vAlign w:val="center"/>
          </w:tcPr>
          <w:p>
            <w:pPr>
              <w:spacing w:line="360" w:lineRule="auto"/>
              <w:jc w:val="center"/>
              <w:rPr>
                <w:rFonts w:hint="eastAsia" w:ascii="宋体" w:hAnsi="宋体" w:eastAsia="宋体" w:cs="宋体"/>
                <w:sz w:val="24"/>
                <w:szCs w:val="24"/>
              </w:rPr>
            </w:pPr>
          </w:p>
        </w:tc>
        <w:tc>
          <w:tcPr>
            <w:tcW w:w="851" w:type="dxa"/>
            <w:tcBorders>
              <w:top w:val="nil"/>
              <w:bottom w:val="nil"/>
            </w:tcBorders>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129"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0.715</w:t>
            </w:r>
          </w:p>
        </w:tc>
        <w:tc>
          <w:tcPr>
            <w:tcW w:w="1134"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0.135</w:t>
            </w:r>
          </w:p>
        </w:tc>
        <w:tc>
          <w:tcPr>
            <w:tcW w:w="709" w:type="dxa"/>
            <w:tcBorders>
              <w:top w:val="nil"/>
            </w:tcBorders>
            <w:vAlign w:val="center"/>
          </w:tcPr>
          <w:p>
            <w:pPr>
              <w:spacing w:line="360" w:lineRule="auto"/>
              <w:jc w:val="center"/>
              <w:rPr>
                <w:rFonts w:hint="eastAsia" w:ascii="宋体" w:hAnsi="宋体" w:eastAsia="宋体" w:cs="宋体"/>
                <w:sz w:val="24"/>
                <w:szCs w:val="24"/>
              </w:rPr>
            </w:pPr>
          </w:p>
        </w:tc>
        <w:tc>
          <w:tcPr>
            <w:tcW w:w="709" w:type="dxa"/>
            <w:tcBorders>
              <w:top w:val="nil"/>
            </w:tcBorders>
            <w:vAlign w:val="center"/>
          </w:tcPr>
          <w:p>
            <w:pPr>
              <w:spacing w:line="360" w:lineRule="auto"/>
              <w:jc w:val="center"/>
              <w:rPr>
                <w:rFonts w:hint="eastAsia" w:ascii="宋体" w:hAnsi="宋体" w:eastAsia="宋体" w:cs="宋体"/>
                <w:sz w:val="24"/>
                <w:szCs w:val="24"/>
              </w:rPr>
            </w:pPr>
          </w:p>
        </w:tc>
        <w:tc>
          <w:tcPr>
            <w:tcW w:w="1134"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0.145</w:t>
            </w:r>
          </w:p>
        </w:tc>
        <w:tc>
          <w:tcPr>
            <w:tcW w:w="1134"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0.093</w:t>
            </w:r>
          </w:p>
        </w:tc>
        <w:tc>
          <w:tcPr>
            <w:tcW w:w="850" w:type="dxa"/>
            <w:tcBorders>
              <w:top w:val="nil"/>
            </w:tcBorders>
            <w:vAlign w:val="center"/>
          </w:tcPr>
          <w:p>
            <w:pPr>
              <w:spacing w:line="360" w:lineRule="auto"/>
              <w:jc w:val="center"/>
              <w:rPr>
                <w:rFonts w:hint="eastAsia" w:ascii="宋体" w:hAnsi="宋体" w:eastAsia="宋体" w:cs="宋体"/>
                <w:sz w:val="24"/>
                <w:szCs w:val="24"/>
              </w:rPr>
            </w:pPr>
          </w:p>
        </w:tc>
        <w:tc>
          <w:tcPr>
            <w:tcW w:w="851" w:type="dxa"/>
            <w:tcBorders>
              <w:top w:val="nil"/>
            </w:tcBorders>
            <w:vAlign w:val="center"/>
          </w:tcPr>
          <w:p>
            <w:pPr>
              <w:spacing w:line="360" w:lineRule="auto"/>
              <w:jc w:val="center"/>
              <w:rPr>
                <w:rFonts w:hint="eastAsia" w:ascii="宋体" w:hAnsi="宋体" w:eastAsia="宋体" w:cs="宋体"/>
                <w:sz w:val="24"/>
                <w:szCs w:val="24"/>
              </w:rPr>
            </w:pPr>
          </w:p>
        </w:tc>
        <w:tc>
          <w:tcPr>
            <w:tcW w:w="1134"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0.931</w:t>
            </w:r>
          </w:p>
        </w:tc>
        <w:tc>
          <w:tcPr>
            <w:tcW w:w="1276"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0.009</w:t>
            </w:r>
          </w:p>
        </w:tc>
        <w:tc>
          <w:tcPr>
            <w:tcW w:w="850" w:type="dxa"/>
            <w:tcBorders>
              <w:top w:val="nil"/>
            </w:tcBorders>
            <w:vAlign w:val="center"/>
          </w:tcPr>
          <w:p>
            <w:pPr>
              <w:spacing w:line="360" w:lineRule="auto"/>
              <w:jc w:val="center"/>
              <w:rPr>
                <w:rFonts w:hint="eastAsia" w:ascii="宋体" w:hAnsi="宋体" w:eastAsia="宋体" w:cs="宋体"/>
                <w:sz w:val="24"/>
                <w:szCs w:val="24"/>
              </w:rPr>
            </w:pPr>
          </w:p>
        </w:tc>
        <w:tc>
          <w:tcPr>
            <w:tcW w:w="851" w:type="dxa"/>
            <w:tcBorders>
              <w:top w:val="nil"/>
            </w:tcBorders>
            <w:vAlign w:val="center"/>
          </w:tcPr>
          <w:p>
            <w:pPr>
              <w:spacing w:line="360" w:lineRule="auto"/>
              <w:jc w:val="center"/>
              <w:rPr>
                <w:rFonts w:hint="eastAsia" w:ascii="宋体" w:hAnsi="宋体" w:eastAsia="宋体" w:cs="宋体"/>
                <w:sz w:val="24"/>
                <w:szCs w:val="24"/>
              </w:rPr>
            </w:pPr>
          </w:p>
        </w:tc>
      </w:tr>
    </w:tbl>
    <w:p>
      <w:pPr>
        <w:snapToGrid w:val="0"/>
        <w:spacing w:line="360" w:lineRule="auto"/>
        <w:jc w:val="center"/>
        <w:rPr>
          <w:rFonts w:hint="eastAsia" w:ascii="宋体" w:hAnsi="宋体" w:eastAsia="宋体" w:cs="宋体"/>
          <w:sz w:val="24"/>
          <w:szCs w:val="24"/>
        </w:rPr>
      </w:pPr>
    </w:p>
    <w:tbl>
      <w:tblPr>
        <w:tblStyle w:val="11"/>
        <w:tblW w:w="11761"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416"/>
        <w:gridCol w:w="1416"/>
        <w:gridCol w:w="816"/>
        <w:gridCol w:w="816"/>
        <w:gridCol w:w="1416"/>
        <w:gridCol w:w="1416"/>
        <w:gridCol w:w="816"/>
        <w:gridCol w:w="816"/>
        <w:gridCol w:w="1656"/>
        <w:gridCol w:w="1656"/>
        <w:gridCol w:w="936"/>
        <w:gridCol w:w="81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263" w:type="dxa"/>
            <w:gridSpan w:val="2"/>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精力</w:t>
            </w:r>
          </w:p>
        </w:tc>
        <w:tc>
          <w:tcPr>
            <w:tcW w:w="709"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t</w:t>
            </w:r>
            <w:r>
              <w:rPr>
                <w:rFonts w:hint="eastAsia" w:ascii="宋体" w:hAnsi="宋体" w:eastAsia="宋体" w:cs="宋体"/>
                <w:color w:val="000000" w:themeColor="text1"/>
                <w:sz w:val="24"/>
                <w:szCs w:val="24"/>
                <w14:textFill>
                  <w14:solidFill>
                    <w14:schemeClr w14:val="tx1"/>
                  </w14:solidFill>
                </w14:textFill>
              </w:rPr>
              <w:t>值</w:t>
            </w:r>
          </w:p>
        </w:tc>
        <w:tc>
          <w:tcPr>
            <w:tcW w:w="709"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值</w:t>
            </w:r>
          </w:p>
        </w:tc>
        <w:tc>
          <w:tcPr>
            <w:tcW w:w="2268" w:type="dxa"/>
            <w:gridSpan w:val="2"/>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自尊心</w:t>
            </w:r>
          </w:p>
        </w:tc>
        <w:tc>
          <w:tcPr>
            <w:tcW w:w="850"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t</w:t>
            </w:r>
            <w:r>
              <w:rPr>
                <w:rFonts w:hint="eastAsia" w:ascii="宋体" w:hAnsi="宋体" w:eastAsia="宋体" w:cs="宋体"/>
                <w:color w:val="000000" w:themeColor="text1"/>
                <w:sz w:val="24"/>
                <w:szCs w:val="24"/>
                <w14:textFill>
                  <w14:solidFill>
                    <w14:schemeClr w14:val="tx1"/>
                  </w14:solidFill>
                </w14:textFill>
              </w:rPr>
              <w:t>值</w:t>
            </w:r>
          </w:p>
        </w:tc>
        <w:tc>
          <w:tcPr>
            <w:tcW w:w="851"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值</w:t>
            </w:r>
          </w:p>
        </w:tc>
        <w:tc>
          <w:tcPr>
            <w:tcW w:w="2410" w:type="dxa"/>
            <w:gridSpan w:val="2"/>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POMS总分</w:t>
            </w:r>
          </w:p>
        </w:tc>
        <w:tc>
          <w:tcPr>
            <w:tcW w:w="850"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t</w:t>
            </w:r>
            <w:r>
              <w:rPr>
                <w:rFonts w:hint="eastAsia" w:ascii="宋体" w:hAnsi="宋体" w:eastAsia="宋体" w:cs="宋体"/>
                <w:color w:val="000000" w:themeColor="text1"/>
                <w:sz w:val="24"/>
                <w:szCs w:val="24"/>
                <w14:textFill>
                  <w14:solidFill>
                    <w14:schemeClr w14:val="tx1"/>
                  </w14:solidFill>
                </w14:textFill>
              </w:rPr>
              <w:t>值</w:t>
            </w:r>
          </w:p>
        </w:tc>
        <w:tc>
          <w:tcPr>
            <w:tcW w:w="851"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i/>
                <w:color w:val="000000" w:themeColor="text1"/>
                <w:sz w:val="24"/>
                <w:szCs w:val="24"/>
                <w14:textFill>
                  <w14:solidFill>
                    <w14:schemeClr w14:val="tx1"/>
                  </w14:solidFill>
                </w14:textFill>
              </w:rPr>
              <w:t>P</w:t>
            </w:r>
            <w:r>
              <w:rPr>
                <w:rFonts w:hint="eastAsia" w:ascii="宋体" w:hAnsi="宋体" w:eastAsia="宋体" w:cs="宋体"/>
                <w:color w:val="000000" w:themeColor="text1"/>
                <w:sz w:val="24"/>
                <w:szCs w:val="24"/>
                <w14:textFill>
                  <w14:solidFill>
                    <w14:schemeClr w14:val="tx1"/>
                  </w14:solidFill>
                </w14:textFill>
              </w:rPr>
              <w:t>值</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129"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检查前</w:t>
            </w:r>
          </w:p>
        </w:tc>
        <w:tc>
          <w:tcPr>
            <w:tcW w:w="1134"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检查后</w:t>
            </w:r>
          </w:p>
        </w:tc>
        <w:tc>
          <w:tcPr>
            <w:tcW w:w="709"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709"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1134"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检查前</w:t>
            </w:r>
          </w:p>
        </w:tc>
        <w:tc>
          <w:tcPr>
            <w:tcW w:w="1134"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检查后</w:t>
            </w:r>
          </w:p>
        </w:tc>
        <w:tc>
          <w:tcPr>
            <w:tcW w:w="850"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851"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1134"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检查前</w:t>
            </w:r>
          </w:p>
        </w:tc>
        <w:tc>
          <w:tcPr>
            <w:tcW w:w="1276"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检查后</w:t>
            </w:r>
          </w:p>
        </w:tc>
        <w:tc>
          <w:tcPr>
            <w:tcW w:w="850"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c>
          <w:tcPr>
            <w:tcW w:w="851" w:type="dxa"/>
            <w:vMerge w:val="continue"/>
            <w:tcBorders>
              <w:bottom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129"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4.28</w:t>
            </w:r>
            <w:r>
              <w:rPr>
                <w:rFonts w:hint="eastAsia" w:ascii="宋体" w:hAnsi="宋体" w:eastAsia="宋体" w:cs="宋体"/>
                <w:color w:val="000000" w:themeColor="text1"/>
                <w:sz w:val="24"/>
                <w:szCs w:val="24"/>
                <w14:textFill>
                  <w14:solidFill>
                    <w14:schemeClr w14:val="tx1"/>
                  </w14:solidFill>
                </w14:textFill>
              </w:rPr>
              <w:t>±1.32</w:t>
            </w:r>
          </w:p>
        </w:tc>
        <w:tc>
          <w:tcPr>
            <w:tcW w:w="1134"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5.45</w:t>
            </w:r>
            <w:r>
              <w:rPr>
                <w:rFonts w:hint="eastAsia" w:ascii="宋体" w:hAnsi="宋体" w:eastAsia="宋体" w:cs="宋体"/>
                <w:color w:val="000000" w:themeColor="text1"/>
                <w:sz w:val="24"/>
                <w:szCs w:val="24"/>
                <w14:textFill>
                  <w14:solidFill>
                    <w14:schemeClr w14:val="tx1"/>
                  </w14:solidFill>
                </w14:textFill>
              </w:rPr>
              <w:t>±1.55</w:t>
            </w:r>
          </w:p>
        </w:tc>
        <w:tc>
          <w:tcPr>
            <w:tcW w:w="709"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3.898</w:t>
            </w:r>
          </w:p>
        </w:tc>
        <w:tc>
          <w:tcPr>
            <w:tcW w:w="709"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0.000</w:t>
            </w:r>
          </w:p>
        </w:tc>
        <w:tc>
          <w:tcPr>
            <w:tcW w:w="1134"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2.93</w:t>
            </w:r>
            <w:r>
              <w:rPr>
                <w:rFonts w:hint="eastAsia" w:ascii="宋体" w:hAnsi="宋体" w:eastAsia="宋体" w:cs="宋体"/>
                <w:color w:val="000000" w:themeColor="text1"/>
                <w:sz w:val="24"/>
                <w:szCs w:val="24"/>
                <w14:textFill>
                  <w14:solidFill>
                    <w14:schemeClr w14:val="tx1"/>
                  </w14:solidFill>
                </w14:textFill>
              </w:rPr>
              <w:t>±1.59</w:t>
            </w:r>
          </w:p>
        </w:tc>
        <w:tc>
          <w:tcPr>
            <w:tcW w:w="1134"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4.70</w:t>
            </w:r>
            <w:r>
              <w:rPr>
                <w:rFonts w:hint="eastAsia" w:ascii="宋体" w:hAnsi="宋体" w:eastAsia="宋体" w:cs="宋体"/>
                <w:color w:val="000000" w:themeColor="text1"/>
                <w:sz w:val="24"/>
                <w:szCs w:val="24"/>
                <w14:textFill>
                  <w14:solidFill>
                    <w14:schemeClr w14:val="tx1"/>
                  </w14:solidFill>
                </w14:textFill>
              </w:rPr>
              <w:t>±1.76</w:t>
            </w:r>
          </w:p>
        </w:tc>
        <w:tc>
          <w:tcPr>
            <w:tcW w:w="850"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4.323</w:t>
            </w:r>
          </w:p>
        </w:tc>
        <w:tc>
          <w:tcPr>
            <w:tcW w:w="851"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0.000</w:t>
            </w:r>
          </w:p>
        </w:tc>
        <w:tc>
          <w:tcPr>
            <w:tcW w:w="1134"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126.00</w:t>
            </w:r>
            <w:r>
              <w:rPr>
                <w:rFonts w:hint="eastAsia" w:ascii="宋体" w:hAnsi="宋体" w:eastAsia="宋体" w:cs="宋体"/>
                <w:color w:val="000000" w:themeColor="text1"/>
                <w:sz w:val="24"/>
                <w:szCs w:val="24"/>
                <w14:textFill>
                  <w14:solidFill>
                    <w14:schemeClr w14:val="tx1"/>
                  </w14:solidFill>
                </w14:textFill>
              </w:rPr>
              <w:t>±6.26</w:t>
            </w:r>
          </w:p>
        </w:tc>
        <w:tc>
          <w:tcPr>
            <w:tcW w:w="1276"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112.85</w:t>
            </w:r>
            <w:r>
              <w:rPr>
                <w:rFonts w:hint="eastAsia" w:ascii="宋体" w:hAnsi="宋体" w:eastAsia="宋体" w:cs="宋体"/>
                <w:color w:val="000000" w:themeColor="text1"/>
                <w:sz w:val="24"/>
                <w:szCs w:val="24"/>
                <w14:textFill>
                  <w14:solidFill>
                    <w14:schemeClr w14:val="tx1"/>
                  </w14:solidFill>
                </w14:textFill>
              </w:rPr>
              <w:t>±4.14</w:t>
            </w:r>
          </w:p>
        </w:tc>
        <w:tc>
          <w:tcPr>
            <w:tcW w:w="850"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11.553</w:t>
            </w:r>
          </w:p>
        </w:tc>
        <w:tc>
          <w:tcPr>
            <w:tcW w:w="851" w:type="dxa"/>
            <w:tcBorders>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129"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4.20</w:t>
            </w:r>
            <w:r>
              <w:rPr>
                <w:rFonts w:hint="eastAsia" w:ascii="宋体" w:hAnsi="宋体" w:eastAsia="宋体" w:cs="宋体"/>
                <w:color w:val="000000" w:themeColor="text1"/>
                <w:sz w:val="24"/>
                <w:szCs w:val="24"/>
                <w14:textFill>
                  <w14:solidFill>
                    <w14:schemeClr w14:val="tx1"/>
                  </w14:solidFill>
                </w14:textFill>
              </w:rPr>
              <w:t>±1.22</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4.55</w:t>
            </w:r>
            <w:r>
              <w:rPr>
                <w:rFonts w:hint="eastAsia" w:ascii="宋体" w:hAnsi="宋体" w:eastAsia="宋体" w:cs="宋体"/>
                <w:color w:val="000000" w:themeColor="text1"/>
                <w:sz w:val="24"/>
                <w:szCs w:val="24"/>
                <w14:textFill>
                  <w14:solidFill>
                    <w14:schemeClr w14:val="tx1"/>
                  </w14:solidFill>
                </w14:textFill>
              </w:rPr>
              <w:t>±1.18</w:t>
            </w:r>
          </w:p>
        </w:tc>
        <w:tc>
          <w:tcPr>
            <w:tcW w:w="709"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1.403</w:t>
            </w:r>
          </w:p>
        </w:tc>
        <w:tc>
          <w:tcPr>
            <w:tcW w:w="709"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0.169</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2.85</w:t>
            </w:r>
            <w:r>
              <w:rPr>
                <w:rFonts w:hint="eastAsia" w:ascii="宋体" w:hAnsi="宋体" w:eastAsia="宋体" w:cs="宋体"/>
                <w:color w:val="000000" w:themeColor="text1"/>
                <w:sz w:val="24"/>
                <w:szCs w:val="24"/>
                <w14:textFill>
                  <w14:solidFill>
                    <w14:schemeClr w14:val="tx1"/>
                  </w14:solidFill>
                </w14:textFill>
              </w:rPr>
              <w:t>±1.56</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3.98</w:t>
            </w:r>
            <w:r>
              <w:rPr>
                <w:rFonts w:hint="eastAsia" w:ascii="宋体" w:hAnsi="宋体" w:eastAsia="宋体" w:cs="宋体"/>
                <w:color w:val="000000" w:themeColor="text1"/>
                <w:sz w:val="24"/>
                <w:szCs w:val="24"/>
                <w14:textFill>
                  <w14:solidFill>
                    <w14:schemeClr w14:val="tx1"/>
                  </w14:solidFill>
                </w14:textFill>
              </w:rPr>
              <w:t>±1.44</w:t>
            </w:r>
          </w:p>
        </w:tc>
        <w:tc>
          <w:tcPr>
            <w:tcW w:w="850"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2.953</w:t>
            </w:r>
          </w:p>
        </w:tc>
        <w:tc>
          <w:tcPr>
            <w:tcW w:w="851"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0.005</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126.13</w:t>
            </w:r>
            <w:r>
              <w:rPr>
                <w:rFonts w:hint="eastAsia" w:ascii="宋体" w:hAnsi="宋体" w:eastAsia="宋体" w:cs="宋体"/>
                <w:color w:val="000000" w:themeColor="text1"/>
                <w:sz w:val="24"/>
                <w:szCs w:val="24"/>
                <w14:textFill>
                  <w14:solidFill>
                    <w14:schemeClr w14:val="tx1"/>
                  </w14:solidFill>
                </w14:textFill>
              </w:rPr>
              <w:t>±5.39</w:t>
            </w:r>
          </w:p>
        </w:tc>
        <w:tc>
          <w:tcPr>
            <w:tcW w:w="1276"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120.45</w:t>
            </w:r>
            <w:r>
              <w:rPr>
                <w:rFonts w:hint="eastAsia" w:ascii="宋体" w:hAnsi="宋体" w:eastAsia="宋体" w:cs="宋体"/>
                <w:color w:val="000000" w:themeColor="text1"/>
                <w:sz w:val="24"/>
                <w:szCs w:val="24"/>
                <w14:textFill>
                  <w14:solidFill>
                    <w14:schemeClr w14:val="tx1"/>
                  </w14:solidFill>
                </w14:textFill>
              </w:rPr>
              <w:t>±6.33</w:t>
            </w:r>
          </w:p>
        </w:tc>
        <w:tc>
          <w:tcPr>
            <w:tcW w:w="850"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4.470</w:t>
            </w:r>
          </w:p>
        </w:tc>
        <w:tc>
          <w:tcPr>
            <w:tcW w:w="851"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129"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0.264</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2.924</w:t>
            </w:r>
          </w:p>
        </w:tc>
        <w:tc>
          <w:tcPr>
            <w:tcW w:w="709" w:type="dxa"/>
            <w:tcBorders>
              <w:top w:val="nil"/>
              <w:bottom w:val="nil"/>
            </w:tcBorders>
            <w:vAlign w:val="center"/>
          </w:tcPr>
          <w:p>
            <w:pPr>
              <w:spacing w:line="360" w:lineRule="auto"/>
              <w:jc w:val="center"/>
              <w:rPr>
                <w:rFonts w:hint="eastAsia" w:ascii="宋体" w:hAnsi="宋体" w:eastAsia="宋体" w:cs="宋体"/>
                <w:sz w:val="24"/>
                <w:szCs w:val="24"/>
              </w:rPr>
            </w:pPr>
          </w:p>
        </w:tc>
        <w:tc>
          <w:tcPr>
            <w:tcW w:w="709" w:type="dxa"/>
            <w:tcBorders>
              <w:top w:val="nil"/>
              <w:bottom w:val="nil"/>
            </w:tcBorders>
            <w:vAlign w:val="center"/>
          </w:tcPr>
          <w:p>
            <w:pPr>
              <w:spacing w:line="360" w:lineRule="auto"/>
              <w:jc w:val="center"/>
              <w:rPr>
                <w:rFonts w:hint="eastAsia" w:ascii="宋体" w:hAnsi="宋体" w:eastAsia="宋体" w:cs="宋体"/>
                <w:sz w:val="24"/>
                <w:szCs w:val="24"/>
              </w:rPr>
            </w:pP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0.213</w:t>
            </w: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2.018</w:t>
            </w:r>
          </w:p>
        </w:tc>
        <w:tc>
          <w:tcPr>
            <w:tcW w:w="850" w:type="dxa"/>
            <w:tcBorders>
              <w:top w:val="nil"/>
              <w:bottom w:val="nil"/>
            </w:tcBorders>
            <w:vAlign w:val="center"/>
          </w:tcPr>
          <w:p>
            <w:pPr>
              <w:spacing w:line="360" w:lineRule="auto"/>
              <w:jc w:val="center"/>
              <w:rPr>
                <w:rFonts w:hint="eastAsia" w:ascii="宋体" w:hAnsi="宋体" w:eastAsia="宋体" w:cs="宋体"/>
                <w:sz w:val="24"/>
                <w:szCs w:val="24"/>
              </w:rPr>
            </w:pPr>
          </w:p>
        </w:tc>
        <w:tc>
          <w:tcPr>
            <w:tcW w:w="851" w:type="dxa"/>
            <w:tcBorders>
              <w:top w:val="nil"/>
              <w:bottom w:val="nil"/>
            </w:tcBorders>
            <w:vAlign w:val="center"/>
          </w:tcPr>
          <w:p>
            <w:pPr>
              <w:spacing w:line="360" w:lineRule="auto"/>
              <w:jc w:val="center"/>
              <w:rPr>
                <w:rFonts w:hint="eastAsia" w:ascii="宋体" w:hAnsi="宋体" w:eastAsia="宋体" w:cs="宋体"/>
                <w:sz w:val="24"/>
                <w:szCs w:val="24"/>
              </w:rPr>
            </w:pPr>
          </w:p>
        </w:tc>
        <w:tc>
          <w:tcPr>
            <w:tcW w:w="1134"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0.096</w:t>
            </w:r>
          </w:p>
        </w:tc>
        <w:tc>
          <w:tcPr>
            <w:tcW w:w="1276" w:type="dxa"/>
            <w:tcBorders>
              <w:top w:val="nil"/>
              <w:bottom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6.352</w:t>
            </w:r>
          </w:p>
        </w:tc>
        <w:tc>
          <w:tcPr>
            <w:tcW w:w="850" w:type="dxa"/>
            <w:tcBorders>
              <w:top w:val="nil"/>
              <w:bottom w:val="nil"/>
            </w:tcBorders>
            <w:vAlign w:val="center"/>
          </w:tcPr>
          <w:p>
            <w:pPr>
              <w:spacing w:line="360" w:lineRule="auto"/>
              <w:jc w:val="center"/>
              <w:rPr>
                <w:rFonts w:hint="eastAsia" w:ascii="宋体" w:hAnsi="宋体" w:eastAsia="宋体" w:cs="宋体"/>
                <w:sz w:val="24"/>
                <w:szCs w:val="24"/>
              </w:rPr>
            </w:pPr>
          </w:p>
        </w:tc>
        <w:tc>
          <w:tcPr>
            <w:tcW w:w="851" w:type="dxa"/>
            <w:tcBorders>
              <w:top w:val="nil"/>
              <w:bottom w:val="nil"/>
            </w:tcBorders>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129"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0.793</w:t>
            </w:r>
          </w:p>
        </w:tc>
        <w:tc>
          <w:tcPr>
            <w:tcW w:w="1134"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0.005</w:t>
            </w:r>
          </w:p>
        </w:tc>
        <w:tc>
          <w:tcPr>
            <w:tcW w:w="709" w:type="dxa"/>
            <w:tcBorders>
              <w:top w:val="nil"/>
            </w:tcBorders>
            <w:vAlign w:val="center"/>
          </w:tcPr>
          <w:p>
            <w:pPr>
              <w:spacing w:line="360" w:lineRule="auto"/>
              <w:jc w:val="center"/>
              <w:rPr>
                <w:rFonts w:hint="eastAsia" w:ascii="宋体" w:hAnsi="宋体" w:eastAsia="宋体" w:cs="宋体"/>
                <w:sz w:val="24"/>
                <w:szCs w:val="24"/>
              </w:rPr>
            </w:pPr>
          </w:p>
        </w:tc>
        <w:tc>
          <w:tcPr>
            <w:tcW w:w="709" w:type="dxa"/>
            <w:tcBorders>
              <w:top w:val="nil"/>
            </w:tcBorders>
            <w:vAlign w:val="center"/>
          </w:tcPr>
          <w:p>
            <w:pPr>
              <w:spacing w:line="360" w:lineRule="auto"/>
              <w:jc w:val="center"/>
              <w:rPr>
                <w:rFonts w:hint="eastAsia" w:ascii="宋体" w:hAnsi="宋体" w:eastAsia="宋体" w:cs="宋体"/>
                <w:sz w:val="24"/>
                <w:szCs w:val="24"/>
              </w:rPr>
            </w:pPr>
          </w:p>
        </w:tc>
        <w:tc>
          <w:tcPr>
            <w:tcW w:w="1134"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0.832</w:t>
            </w:r>
          </w:p>
        </w:tc>
        <w:tc>
          <w:tcPr>
            <w:tcW w:w="1134"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0.047</w:t>
            </w:r>
          </w:p>
        </w:tc>
        <w:tc>
          <w:tcPr>
            <w:tcW w:w="850" w:type="dxa"/>
            <w:tcBorders>
              <w:top w:val="nil"/>
            </w:tcBorders>
            <w:vAlign w:val="center"/>
          </w:tcPr>
          <w:p>
            <w:pPr>
              <w:spacing w:line="360" w:lineRule="auto"/>
              <w:jc w:val="center"/>
              <w:rPr>
                <w:rFonts w:hint="eastAsia" w:ascii="宋体" w:hAnsi="宋体" w:eastAsia="宋体" w:cs="宋体"/>
                <w:sz w:val="24"/>
                <w:szCs w:val="24"/>
              </w:rPr>
            </w:pPr>
          </w:p>
        </w:tc>
        <w:tc>
          <w:tcPr>
            <w:tcW w:w="851" w:type="dxa"/>
            <w:tcBorders>
              <w:top w:val="nil"/>
            </w:tcBorders>
            <w:vAlign w:val="center"/>
          </w:tcPr>
          <w:p>
            <w:pPr>
              <w:spacing w:line="360" w:lineRule="auto"/>
              <w:jc w:val="center"/>
              <w:rPr>
                <w:rFonts w:hint="eastAsia" w:ascii="宋体" w:hAnsi="宋体" w:eastAsia="宋体" w:cs="宋体"/>
                <w:sz w:val="24"/>
                <w:szCs w:val="24"/>
              </w:rPr>
            </w:pPr>
          </w:p>
        </w:tc>
        <w:tc>
          <w:tcPr>
            <w:tcW w:w="1134"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0.924</w:t>
            </w:r>
          </w:p>
        </w:tc>
        <w:tc>
          <w:tcPr>
            <w:tcW w:w="1276" w:type="dxa"/>
            <w:tcBorders>
              <w:top w:val="nil"/>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0.000</w:t>
            </w:r>
          </w:p>
        </w:tc>
        <w:tc>
          <w:tcPr>
            <w:tcW w:w="850" w:type="dxa"/>
            <w:tcBorders>
              <w:top w:val="nil"/>
            </w:tcBorders>
            <w:vAlign w:val="center"/>
          </w:tcPr>
          <w:p>
            <w:pPr>
              <w:spacing w:line="360" w:lineRule="auto"/>
              <w:jc w:val="center"/>
              <w:rPr>
                <w:rFonts w:hint="eastAsia" w:ascii="宋体" w:hAnsi="宋体" w:eastAsia="宋体" w:cs="宋体"/>
                <w:sz w:val="24"/>
                <w:szCs w:val="24"/>
              </w:rPr>
            </w:pPr>
          </w:p>
        </w:tc>
        <w:tc>
          <w:tcPr>
            <w:tcW w:w="851" w:type="dxa"/>
            <w:tcBorders>
              <w:top w:val="nil"/>
            </w:tcBorders>
            <w:vAlign w:val="center"/>
          </w:tcPr>
          <w:p>
            <w:pPr>
              <w:spacing w:line="360" w:lineRule="auto"/>
              <w:jc w:val="center"/>
              <w:rPr>
                <w:rFonts w:hint="eastAsia" w:ascii="宋体" w:hAnsi="宋体" w:eastAsia="宋体" w:cs="宋体"/>
                <w:sz w:val="24"/>
                <w:szCs w:val="24"/>
              </w:rPr>
            </w:pPr>
          </w:p>
        </w:tc>
      </w:tr>
    </w:tbl>
    <w:p>
      <w:pPr>
        <w:spacing w:line="36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讨论</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静默疗法可改善幽闭恐惧症患者情绪状态。本研究显示，干预前POMS得分分别为（126.00±6.26）分和（126.13±5.39）分，与</w:t>
      </w:r>
      <w:r>
        <w:rPr>
          <w:rFonts w:hint="eastAsia" w:ascii="宋体" w:hAnsi="宋体" w:eastAsia="宋体" w:cs="宋体"/>
          <w:color w:val="000000"/>
          <w:sz w:val="24"/>
          <w:szCs w:val="24"/>
        </w:rPr>
        <w:t>贾艳芳</w:t>
      </w:r>
      <w:r>
        <w:rPr>
          <w:rFonts w:hint="eastAsia" w:ascii="宋体" w:hAnsi="宋体" w:eastAsia="宋体" w:cs="宋体"/>
          <w:color w:val="000000" w:themeColor="text1"/>
          <w:sz w:val="24"/>
          <w:szCs w:val="24"/>
          <w14:textFill>
            <w14:solidFill>
              <w14:schemeClr w14:val="tx1"/>
            </w14:solidFill>
          </w14:textFill>
        </w:rPr>
        <w:t>等</w:t>
      </w:r>
      <w:r>
        <w:rPr>
          <w:rFonts w:hint="eastAsia" w:ascii="宋体" w:hAnsi="宋体" w:eastAsia="宋体" w:cs="宋体"/>
          <w:color w:val="000000" w:themeColor="text1"/>
          <w:sz w:val="24"/>
          <w:szCs w:val="24"/>
          <w:vertAlign w:val="superscript"/>
          <w14:textFill>
            <w14:solidFill>
              <w14:schemeClr w14:val="tx1"/>
            </w14:solidFill>
          </w14:textFill>
        </w:rPr>
        <w:t>[13]</w:t>
      </w:r>
      <w:r>
        <w:rPr>
          <w:rFonts w:hint="eastAsia" w:ascii="宋体" w:hAnsi="宋体" w:eastAsia="宋体" w:cs="宋体"/>
          <w:color w:val="000000" w:themeColor="text1"/>
          <w:sz w:val="24"/>
          <w:szCs w:val="24"/>
          <w14:textFill>
            <w14:solidFill>
              <w14:schemeClr w14:val="tx1"/>
            </w14:solidFill>
          </w14:textFill>
        </w:rPr>
        <w:t>报道结果接近，表明幽闭恐惧症患者在接受磁共振检查前出现不良的情绪状态。不良的心境会使个体在心理上形成一种抵触的情绪，不仅影响患者对检查配合度，还会增强其心理应激反应，严重时甚至出现心血管意外</w:t>
      </w:r>
      <w:r>
        <w:rPr>
          <w:rFonts w:hint="eastAsia" w:ascii="宋体" w:hAnsi="宋体" w:eastAsia="宋体" w:cs="宋体"/>
          <w:color w:val="000000" w:themeColor="text1"/>
          <w:sz w:val="24"/>
          <w:szCs w:val="24"/>
          <w:vertAlign w:val="superscript"/>
          <w14:textFill>
            <w14:solidFill>
              <w14:schemeClr w14:val="tx1"/>
            </w14:solidFill>
          </w14:textFill>
        </w:rPr>
        <w:t>[14]</w:t>
      </w:r>
      <w:r>
        <w:rPr>
          <w:rFonts w:hint="eastAsia" w:ascii="宋体" w:hAnsi="宋体" w:eastAsia="宋体" w:cs="宋体"/>
          <w:color w:val="000000" w:themeColor="text1"/>
          <w:sz w:val="24"/>
          <w:szCs w:val="24"/>
          <w14:textFill>
            <w14:solidFill>
              <w14:schemeClr w14:val="tx1"/>
            </w14:solidFill>
          </w14:textFill>
        </w:rPr>
        <w:t>。干预后，试验组POMS得分明显减少，表现为“紧张”、“压抑”、“慌乱”程度明显降低，“精力”、“自尊心”较高，表明静默疗法可改善患者的情绪状态，与</w:t>
      </w:r>
      <w:r>
        <w:rPr>
          <w:rFonts w:hint="eastAsia" w:ascii="宋体" w:hAnsi="宋体" w:eastAsia="宋体" w:cs="宋体"/>
          <w:color w:val="000000"/>
          <w:sz w:val="24"/>
          <w:szCs w:val="24"/>
        </w:rPr>
        <w:t>庞华容</w:t>
      </w:r>
      <w:r>
        <w:rPr>
          <w:rFonts w:hint="eastAsia" w:ascii="宋体" w:hAnsi="宋体" w:eastAsia="宋体" w:cs="宋体"/>
          <w:color w:val="000000" w:themeColor="text1"/>
          <w:sz w:val="24"/>
          <w:szCs w:val="24"/>
          <w14:textFill>
            <w14:solidFill>
              <w14:schemeClr w14:val="tx1"/>
            </w14:solidFill>
          </w14:textFill>
        </w:rPr>
        <w:t>等</w:t>
      </w:r>
      <w:r>
        <w:rPr>
          <w:rFonts w:hint="eastAsia" w:ascii="宋体" w:hAnsi="宋体" w:eastAsia="宋体" w:cs="宋体"/>
          <w:color w:val="000000" w:themeColor="text1"/>
          <w:sz w:val="24"/>
          <w:szCs w:val="24"/>
          <w:vertAlign w:val="superscript"/>
          <w14:textFill>
            <w14:solidFill>
              <w14:schemeClr w14:val="tx1"/>
            </w14:solidFill>
          </w14:textFill>
        </w:rPr>
        <w:t>[15]</w:t>
      </w:r>
      <w:r>
        <w:rPr>
          <w:rFonts w:hint="eastAsia" w:ascii="宋体" w:hAnsi="宋体" w:eastAsia="宋体" w:cs="宋体"/>
          <w:color w:val="000000" w:themeColor="text1"/>
          <w:sz w:val="24"/>
          <w:szCs w:val="24"/>
          <w14:textFill>
            <w14:solidFill>
              <w14:schemeClr w14:val="tx1"/>
            </w14:solidFill>
          </w14:textFill>
        </w:rPr>
        <w:t>报道一致。可能原因与静默疗法降低交感神经的兴奋性，减少儿茶酚胺类物质释放，减轻应激反应有关。</w:t>
      </w:r>
      <w:r>
        <w:rPr>
          <w:rFonts w:hint="eastAsia" w:ascii="宋体" w:hAnsi="宋体" w:eastAsia="宋体" w:cs="宋体"/>
          <w:sz w:val="24"/>
          <w:szCs w:val="24"/>
        </w:rPr>
        <w:t>静默疗法理论基础是Wolpe的交互抑制理论</w:t>
      </w:r>
      <w:r>
        <w:rPr>
          <w:rFonts w:hint="eastAsia" w:ascii="宋体" w:hAnsi="宋体" w:eastAsia="宋体" w:cs="宋体"/>
          <w:sz w:val="24"/>
          <w:szCs w:val="24"/>
          <w:vertAlign w:val="superscript"/>
        </w:rPr>
        <w:t>[16]</w:t>
      </w:r>
      <w:r>
        <w:rPr>
          <w:rFonts w:hint="eastAsia" w:ascii="宋体" w:hAnsi="宋体" w:eastAsia="宋体" w:cs="宋体"/>
          <w:sz w:val="24"/>
          <w:szCs w:val="24"/>
        </w:rPr>
        <w:t>，即人不可能同时处于紧张和放松两种状态，当受试者处于放松状态时，其紧张情绪即得到明显缓解。幽闭恐惧症是对环境不适应而触发的心理问题，静默疗法通过系统收缩和舒张肌肉，分散患者对环境的注意力，唤醒副交感神经，使全身肌肉松弛，进而达到身心放松的目的。</w:t>
      </w:r>
      <w:r>
        <w:rPr>
          <w:rFonts w:hint="eastAsia" w:ascii="宋体" w:hAnsi="宋体" w:eastAsia="宋体" w:cs="宋体"/>
          <w:color w:val="000000"/>
          <w:sz w:val="24"/>
          <w:szCs w:val="24"/>
        </w:rPr>
        <w:t>Nidich</w:t>
      </w:r>
      <w:r>
        <w:rPr>
          <w:rFonts w:hint="eastAsia" w:ascii="宋体" w:hAnsi="宋体" w:eastAsia="宋体" w:cs="宋体"/>
          <w:sz w:val="24"/>
          <w:szCs w:val="24"/>
        </w:rPr>
        <w:t>等</w:t>
      </w:r>
      <w:r>
        <w:rPr>
          <w:rFonts w:hint="eastAsia" w:ascii="宋体" w:hAnsi="宋体" w:eastAsia="宋体" w:cs="宋体"/>
          <w:sz w:val="24"/>
          <w:szCs w:val="24"/>
          <w:vertAlign w:val="superscript"/>
        </w:rPr>
        <w:t>[17]</w:t>
      </w:r>
      <w:r>
        <w:rPr>
          <w:rFonts w:hint="eastAsia" w:ascii="宋体" w:hAnsi="宋体" w:eastAsia="宋体" w:cs="宋体"/>
          <w:sz w:val="24"/>
          <w:szCs w:val="24"/>
        </w:rPr>
        <w:t>证实静默疗法可松弛身体和心理，提高受试者自主神经的控制力，实现对压力的调节和管理。此外，静默疗法可通过控制呼吸放松心情，缓解心理应激反应，使血管舒张，改善血氧浓度和血液循环，降低了恐惧、焦虑心理。</w:t>
      </w:r>
      <w:r>
        <w:rPr>
          <w:rFonts w:hint="eastAsia" w:ascii="宋体" w:hAnsi="宋体" w:eastAsia="宋体" w:cs="宋体"/>
          <w:color w:val="000000"/>
          <w:sz w:val="24"/>
          <w:szCs w:val="24"/>
        </w:rPr>
        <w:t>Hilton</w:t>
      </w:r>
      <w:r>
        <w:rPr>
          <w:rFonts w:hint="eastAsia" w:ascii="宋体" w:hAnsi="宋体" w:eastAsia="宋体" w:cs="宋体"/>
          <w:sz w:val="24"/>
          <w:szCs w:val="24"/>
        </w:rPr>
        <w:t>等</w:t>
      </w:r>
      <w:r>
        <w:rPr>
          <w:rFonts w:hint="eastAsia" w:ascii="宋体" w:hAnsi="宋体" w:eastAsia="宋体" w:cs="宋体"/>
          <w:sz w:val="24"/>
          <w:szCs w:val="24"/>
          <w:vertAlign w:val="superscript"/>
        </w:rPr>
        <w:t>[18]</w:t>
      </w:r>
      <w:r>
        <w:rPr>
          <w:rFonts w:hint="eastAsia" w:ascii="宋体" w:hAnsi="宋体" w:eastAsia="宋体" w:cs="宋体"/>
          <w:sz w:val="24"/>
          <w:szCs w:val="24"/>
        </w:rPr>
        <w:t>报道称静默疗法能改善慢性疼痛患者疼痛抑郁综合征，减轻恐惧状态，与本研究结论相符。</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 xml:space="preserve">2 </w:t>
      </w:r>
      <w:r>
        <w:rPr>
          <w:rFonts w:hint="eastAsia" w:ascii="宋体" w:hAnsi="宋体" w:eastAsia="宋体" w:cs="宋体"/>
          <w:sz w:val="24"/>
          <w:szCs w:val="24"/>
        </w:rPr>
        <w:t>静默疗法能缩短幽闭恐惧症患者磁共振检查时间，减少并发症。磁共振检查时，患者在封闭、黑暗环境中容易受到惊吓，使患者出现恐惧心理，不能顺利配合检查，导致检查时间延长，部分患者甚至被迫中断检查。本研究显示，试验组检查时间明显缩短，检查成功率明显增加，表明静默疗法可提高患者检查效率。这是因为静默疗法使患者处于相对放松状态，提高了心理应对能力，能更好的配合检查，减少检查中体位改变、躁动等情况的发生，对保证检查顺利进行起到了积极作用。研究表明</w:t>
      </w:r>
      <w:r>
        <w:rPr>
          <w:rFonts w:hint="eastAsia" w:ascii="宋体" w:hAnsi="宋体" w:eastAsia="宋体" w:cs="宋体"/>
          <w:sz w:val="24"/>
          <w:szCs w:val="24"/>
          <w:vertAlign w:val="superscript"/>
        </w:rPr>
        <w:t>[19]</w:t>
      </w:r>
      <w:r>
        <w:rPr>
          <w:rFonts w:hint="eastAsia" w:ascii="宋体" w:hAnsi="宋体" w:eastAsia="宋体" w:cs="宋体"/>
          <w:sz w:val="24"/>
          <w:szCs w:val="24"/>
        </w:rPr>
        <w:t>，磁共振检查设备和环境是导致恐惧的直接诱因，如患者置于磁体腔时，感觉像被困在笼子里，对于有幽闭恐惧症的患者，会出现心悸、呼吸急促、手足出汗、狂躁、频死感等症状。同时，检查过程中仪器发出的噪音、空气流通不畅、检查时间长等又会进一步加重恐惧感。本研究所采用的静默疗法，使受试者注意力都集中于呼吸和肌肉放松上，使机体逐渐进入松弛状态，肌张力降低，产生轻松、愉快和全身舒适的感觉，有效缓解应激性事件引起的自主神经症状。</w:t>
      </w:r>
      <w:r>
        <w:rPr>
          <w:rFonts w:hint="eastAsia" w:ascii="宋体" w:hAnsi="宋体" w:eastAsia="宋体" w:cs="宋体"/>
          <w:color w:val="000000"/>
          <w:sz w:val="24"/>
          <w:szCs w:val="24"/>
        </w:rPr>
        <w:t>朱艳辉</w:t>
      </w:r>
      <w:r>
        <w:rPr>
          <w:rFonts w:hint="eastAsia" w:ascii="宋体" w:hAnsi="宋体" w:eastAsia="宋体" w:cs="宋体"/>
          <w:sz w:val="24"/>
          <w:szCs w:val="24"/>
          <w:vertAlign w:val="superscript"/>
        </w:rPr>
        <w:t>[20]</w:t>
      </w:r>
      <w:r>
        <w:rPr>
          <w:rFonts w:hint="eastAsia" w:ascii="宋体" w:hAnsi="宋体" w:eastAsia="宋体" w:cs="宋体"/>
          <w:sz w:val="24"/>
          <w:szCs w:val="24"/>
        </w:rPr>
        <w:t>称静默疗法可以通过意念控制气息动作，使妇科肿瘤手术患者身体在短时间内得到充分放松，从而改善患者术前焦虑紧张、烦躁等症状，与本研究结果一致。</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 实施静默疗法的注意事项。与其他放松训练不同，静默疗法练习时间短，操作简单，容易上手。但是在实际应用中需要注意一下几个问题：①干预前，需要进行人体解剖知识宣教。患者对解剖位置不了解会影响静默疗法的实施和效果。在介绍解剖位置时，尽可能用通俗易懂的语言，如额头、肚脐、膝盖等，患者容易理解和掌握。②虽然静默疗法能帮助患者放松，缓解检查紧张情绪，但是考虑到每个人的症状程度不一样，若在检查中出现恶心、呕吐等症状，护理人员应及时提醒患者进行深呼吸，尽量放松心情。若出现呼吸困难等严重症状应及时中断检查并进行抢救。</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 小结。静默疗法有助于改善幽闭恐惧症患者心理状态，提高患者磁共振检查效率和降低自主神经症状发生率。本研究存在以下不足：本研究选择了静默疗法中的“三线放松法”，虽然多数患者可在短时间内掌握技巧，但是部分过程稍显繁琐，如牵涉到解剖位置偏多。后期我们将对练习内容进一步简化，使学习能力较弱患者也可以快速掌握练习技巧。另外，本研究所纳入样本量偏少，导致结果可能存在一定误差。后期我们将继续扩大样本量，进一步验证静默疗法对患者的干预效果。</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参考文献</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 xml:space="preserve"> </w:t>
      </w:r>
      <w:r>
        <w:rPr>
          <w:rFonts w:hint="eastAsia" w:ascii="宋体" w:hAnsi="宋体" w:eastAsia="宋体" w:cs="宋体"/>
          <w:color w:val="000000"/>
          <w:sz w:val="24"/>
          <w:szCs w:val="24"/>
        </w:rPr>
        <w:t xml:space="preserve">Kerr HL, Dabke HV, Collins IE, et al. Claustrophobia: a proxy for psychological distress in patients with back pain[J]. J Spinal Disord Tech,2012,25(6):318-323. DOI: 10.1097/BSD.0b013e318220a248.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 Kunimatsu A, Yasaka K, Akai H,et al. MRI findings in posttraumatic stress disorder[J]. J Magn Reson Imaging,2020,52(2):380-396. DOI: 10.1002/jmri.26929.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[3] LaGuardia K. Claustrophobia in Radiology Departments[J]. Radiol Technol,2017,88(3):346-348.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[4] Garcia R. Neurobiology of fear and specific phobias[J]. Learn Mem,2017,24(9):462-471. DOI: 10.1101/lm.044115.116.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[5] Wielgosz J, Goldberg SB, Kral TRA, et al. Mindfulness Meditation and Psychopathology[J]. Annu Rev Clin Psychol,2019,15:285-316. DOI: 10.1146/annurev-clinpsy-021815-093423.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[6] 王玉娟,程芳,马静,等.静默疗法应用于白内障手术患者的效果评价[J].中华护理杂志,2016,51(3):321-325.DOI:10.3761/j.issn.0254-1796.2016.03.013.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leftChars="200"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Wang YJ, Chen F, Ma J, et al.The effects of meditation on patients receiving cataract surgery[J].Chin J Nurs, 2016,51(3):321-325.DOI:10.3761/j.issn.0254-1796.2016.03.013.</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[7] 李玲.静默疗法在乳腺癌术后化疗病人睡眠质量中的应用效果[J].护理研究,2017,31(9):1115-1118.DOI:10.3969/j.issn.1009-6493.2017.09.029.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Li L.Application effect of silence therapy for sleep quality of patients with breast cancer after chemotherapy[J].Chinese Nursing Research,2017,31(9):1115-1118.DOI:10.3969/j.issn.1009-6493.2017.09.029.</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[8] 周意,肖运平,乔丽珍,等.正念减压联合渐进式肌肉放松技术在幽闭恐惧症病人磁共振检查中的应用[J].护理研究,2020,34(14):2577-2580.DOI:10.12102/j.issn.1009-6493.2020.14.030.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leftChars="200"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Zhou Y, Xiao YP, Qiao LZ. Application of mindfulness-based stress reduction(MBSR) combined with progressive muscle relaxation technique in inspection of magnetic resonance imaging(MRI) of patients with claustrophobia[J].Chinese Nursing Research, 2020,34(14):2577-2580. DOI:10.12102/j.issn.1009-6493.2020.14.030.</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[9] Granet RB, Gelber LJ. Claustrophobia during MR imaging[J]. N J Med,1990,87(6):479-482.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[10] Bonadonna R. Meditation's impact on chronic illness[J]. Holist Nurs Pract,2003,17(6):309-319. DOI: 10.1097/00004650-200311000-00006.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[11] Grove J R, Prapavessis H. Preliminary evidence for the reliability and validity of an abbreviated profile of mood states[J]. Int J Sport Psychol,1992,23(2):93-109. DOI:10.1007/BF00636229.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[12] 祝蓓里.POMS量表及简式中国常模简介[J].天津体育学院学报, 1995,10(1):35-37.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leftChars="200"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Zhu BL. Brief introduction of POMs scale and simplified Chinese norm[J].Journal of Tianjin University of Sport,1995,10(1):35-37.</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[13] 贾艳芳,赵化岭,崔萌萌,等.浅析磁共振检查中对幽闭恐惧症患者的心理护理研究[J].临床研究,2019,27(1):175-176.DOI:10.3969/j.issn.1004-8650.2019.01.096.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leftChars="200"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Jia YF, Zhao HL, Cui MM, et al.Psychological nursing of claustrophobia patients in magnetic resonance examination[J].Clinical research, 2019,27(1):175-176.DOI:10.3969/j.issn.1004-8650.2019.01.096.</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[14] 缪小惠,任丽,石亚娜,等.精细化护理在幽闭恐惧症患者MRI检查中的应用[J].中国医学计算机成像杂志,2018,24(4):352-355.DOI:10.3969/j.issn.1006-5741.2018.04.017.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Miao XH, Ren L, Shi YN, et al. Application of Intensive Nursing Intervention in Claustrophobia Patients Undergoing MRI Exam[J].Chinese Computed Medical Imaging,2018,24(4):352-355.DOI:10.3969/j.issn.1006-5741.2018.04.017.</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[15] 庞华容,杨咏梅,黄永兰,等.放松训练在磁共振幽闭恐惧症中的干预研究[J].护士进修杂志,2017,32(14):1339-1341.DOI:10.16821/j.cnki.hsjx.2017.14.026.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leftChars="200"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Pang HR, Yang YM, Huang YL, et al.Study on the intervention of relaxation training in magnetic resonance claustrophobia[J].Journal of Nurses Training,2017,32(14):1339-1341.DOI:10.16821/j.cnki.hsjx.2017.14.026.</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[16] Wolpe J, Brady JP, Serber M, et al. The current status of systematic densitization[J]. Am J Psychiatry,1973,130(9):961-965. DOI: 10.1176/ajp.130.9.961.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[17] Nidich S, Mills PJ, Rainforth M,et al. Non-trauma-focused meditation versus exposure therapy in veterans with post-traumatic stress disorder: a randomised controlled trial[J]. Lancet Psychiatry,2018,5(12):975-986. DOI: 10.1016/S2215-0366(18)30384-5.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[18] Hilton L, Hempel S, Ewing BA, et al. Mindfulness Meditation for Chronic Pain: Systematic Review and Meta-analysis[J]. Ann Behav Med,2017,51(2):199-213. DOI: 10.1007/s12160-016-9844-2.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[19] Napp AE, Enders J, Roehle R, et al. Analysis and Prediction of Claustrophobia during MR Imaging with the Claustrophobia Questionnaire: An Observational Prospective 18-month Single-Center Study of 6500 Patients[J]. Radiology,2017,283(1):148-157. DOI: 10.1148/radiol.2016160476.    </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hanging="480" w:hanging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[20] 朱艳辉.静默疗法对妇科肿瘤手术病人应激反应的效果评价[J].全科护理, 2018,16(18):2260-2261. DOI:10.12104/j.issn.1674-4748.2018.18.035.</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420" w:leftChars="200"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Zhu YH.Effect of meditation therapy on stress response of gynecological tumor patients[J].Chinese General Practice Nursing,2018,16(18):2260-2261. DOI:10.12104/j.issn.1674-4748.2018.18.035.</w:t>
      </w:r>
    </w:p>
    <w:p>
      <w:pPr>
        <w:keepNext w:val="0"/>
        <w:keepLines w:val="0"/>
        <w:pageBreakBefore w:val="0"/>
        <w:widowControl w:val="0"/>
        <w:kinsoku/>
        <w:wordWrap/>
        <w:overflowPunct/>
        <w:topLinePunct w:val="0"/>
        <w:autoSpaceDE/>
        <w:autoSpaceDN/>
        <w:bidi w:val="0"/>
        <w:adjustRightInd/>
        <w:snapToGrid/>
        <w:spacing w:beforeLines="0" w:afterLines="0" w:line="320" w:lineRule="exact"/>
        <w:jc w:val="left"/>
        <w:textAlignment w:val="auto"/>
        <w:rPr>
          <w:rFonts w:hint="eastAsia" w:ascii="宋体" w:hAnsi="宋体" w:eastAsia="宋体" w:cs="宋体"/>
          <w:b/>
          <w:bCs/>
          <w:i w:val="0"/>
          <w:color w:val="00000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320" w:lineRule="exact"/>
        <w:jc w:val="left"/>
        <w:textAlignment w:val="auto"/>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jc w:val="center"/>
        <w:rPr>
          <w:rFonts w:hint="eastAsia" w:ascii="宋体" w:hAnsi="宋体" w:eastAsia="宋体" w:cs="宋体"/>
          <w:b/>
          <w:bCs/>
          <w:sz w:val="24"/>
          <w:szCs w:val="24"/>
        </w:rPr>
      </w:pPr>
      <w:r>
        <w:rPr>
          <w:rFonts w:hint="eastAsia" w:ascii="宋体" w:hAnsi="宋体" w:eastAsia="宋体" w:cs="宋体"/>
          <w:b/>
          <w:bCs/>
          <w:sz w:val="24"/>
          <w:szCs w:val="24"/>
        </w:rPr>
        <w:t>普美显增强磁共振的临床应用及研究进展</w:t>
      </w:r>
    </w:p>
    <w:p>
      <w:pPr>
        <w:jc w:val="left"/>
        <w:rPr>
          <w:rFonts w:hint="eastAsia" w:ascii="宋体" w:hAnsi="宋体" w:eastAsia="宋体" w:cs="宋体"/>
          <w:bCs/>
          <w:sz w:val="24"/>
          <w:szCs w:val="24"/>
        </w:rPr>
      </w:pPr>
      <w:r>
        <w:rPr>
          <w:rFonts w:hint="eastAsia" w:ascii="宋体" w:hAnsi="宋体" w:eastAsia="宋体" w:cs="宋体"/>
          <w:bCs/>
          <w:sz w:val="24"/>
          <w:szCs w:val="24"/>
        </w:rPr>
        <w:t>胡海（长江大学第二临床医学院、放射科，湖北省荆州市 434020）</w:t>
      </w:r>
    </w:p>
    <w:p>
      <w:pPr>
        <w:jc w:val="left"/>
        <w:rPr>
          <w:rFonts w:hint="eastAsia" w:ascii="宋体" w:hAnsi="宋体" w:eastAsia="宋体" w:cs="宋体"/>
          <w:bCs/>
          <w:sz w:val="24"/>
          <w:szCs w:val="24"/>
        </w:rPr>
      </w:pPr>
      <w:r>
        <w:rPr>
          <w:rFonts w:hint="eastAsia" w:ascii="宋体" w:hAnsi="宋体" w:eastAsia="宋体" w:cs="宋体"/>
          <w:bCs/>
          <w:sz w:val="24"/>
          <w:szCs w:val="24"/>
        </w:rPr>
        <w:t>刘四斌（长江大学第二临床医学院、放射科，湖北省荆州市 434020）</w:t>
      </w:r>
    </w:p>
    <w:p>
      <w:pPr>
        <w:jc w:val="left"/>
        <w:rPr>
          <w:rFonts w:hint="eastAsia" w:ascii="宋体" w:hAnsi="宋体" w:eastAsia="宋体" w:cs="宋体"/>
          <w:bCs/>
          <w:sz w:val="24"/>
          <w:szCs w:val="24"/>
        </w:rPr>
      </w:pPr>
      <w:r>
        <w:rPr>
          <w:rFonts w:hint="eastAsia" w:ascii="宋体" w:hAnsi="宋体" w:eastAsia="宋体" w:cs="宋体"/>
          <w:bCs/>
          <w:sz w:val="24"/>
          <w:szCs w:val="24"/>
        </w:rPr>
        <w:t>胡海，男，医学学士学位，</w:t>
      </w:r>
      <w:r>
        <w:rPr>
          <w:rFonts w:hint="eastAsia" w:ascii="宋体" w:hAnsi="宋体" w:eastAsia="宋体" w:cs="宋体"/>
          <w:bCs/>
          <w:sz w:val="24"/>
          <w:szCs w:val="24"/>
          <w:lang w:eastAsia="zh-CN"/>
        </w:rPr>
        <w:t>在读研究生</w:t>
      </w:r>
      <w:r>
        <w:rPr>
          <w:rFonts w:hint="eastAsia" w:ascii="宋体" w:hAnsi="宋体" w:eastAsia="宋体" w:cs="宋体"/>
          <w:bCs/>
          <w:sz w:val="24"/>
          <w:szCs w:val="24"/>
        </w:rPr>
        <w:t>，研究方向：腹部影像诊断，联系电话：13507269286，邮编：434020，通讯地址：湖北省荆州市荆州区人民路1号，荆州市中心医院放射科，邮箱：</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"mailto:2293278219@qq.com" </w:instrText>
      </w:r>
      <w:r>
        <w:rPr>
          <w:rFonts w:hint="eastAsia" w:ascii="宋体" w:hAnsi="宋体" w:eastAsia="宋体" w:cs="宋体"/>
          <w:bCs/>
          <w:sz w:val="24"/>
          <w:szCs w:val="24"/>
        </w:rPr>
        <w:fldChar w:fldCharType="separate"/>
      </w:r>
      <w:r>
        <w:rPr>
          <w:rStyle w:val="14"/>
          <w:rFonts w:hint="eastAsia" w:ascii="宋体" w:hAnsi="宋体" w:eastAsia="宋体" w:cs="宋体"/>
          <w:bCs/>
          <w:sz w:val="24"/>
          <w:szCs w:val="24"/>
        </w:rPr>
        <w:t>2293278219@qq.com</w:t>
      </w:r>
      <w:r>
        <w:rPr>
          <w:rFonts w:hint="eastAsia" w:ascii="宋体" w:hAnsi="宋体" w:eastAsia="宋体" w:cs="宋体"/>
          <w:bCs/>
          <w:sz w:val="24"/>
          <w:szCs w:val="24"/>
        </w:rPr>
        <w:fldChar w:fldCharType="end"/>
      </w:r>
    </w:p>
    <w:p>
      <w:pPr>
        <w:jc w:val="left"/>
        <w:rPr>
          <w:rFonts w:hint="eastAsia" w:ascii="宋体" w:hAnsi="宋体" w:eastAsia="宋体" w:cs="宋体"/>
          <w:bCs/>
          <w:sz w:val="24"/>
          <w:szCs w:val="24"/>
        </w:rPr>
      </w:pPr>
      <w:r>
        <w:rPr>
          <w:rFonts w:hint="eastAsia" w:ascii="宋体" w:hAnsi="宋体" w:eastAsia="宋体" w:cs="宋体"/>
          <w:bCs/>
          <w:sz w:val="24"/>
          <w:szCs w:val="24"/>
          <w:lang w:eastAsia="zh-CN"/>
        </w:rPr>
        <w:t>通讯作者：</w:t>
      </w:r>
      <w:r>
        <w:rPr>
          <w:rFonts w:hint="eastAsia" w:ascii="宋体" w:hAnsi="宋体" w:eastAsia="宋体" w:cs="宋体"/>
          <w:bCs/>
          <w:sz w:val="24"/>
          <w:szCs w:val="24"/>
        </w:rPr>
        <w:t>刘四斌，男，医学博士学位，主任医师，研究方向：腹部影像诊断，联系电话：18107167079，邮编：434020，通讯地址：湖北省荆州市荆州区人民路1号，荆州市中心医院放射科，邮箱：liusib</w:t>
      </w:r>
      <w:r>
        <w:rPr>
          <w:rFonts w:hint="eastAsia" w:ascii="宋体" w:hAnsi="宋体" w:eastAsia="宋体" w:cs="宋体"/>
          <w:bCs/>
          <w:sz w:val="24"/>
          <w:szCs w:val="24"/>
          <w:lang w:val="en-US" w:eastAsia="zh-CN"/>
        </w:rPr>
        <w:t>9159</w:t>
      </w:r>
      <w:r>
        <w:rPr>
          <w:rFonts w:hint="eastAsia" w:ascii="宋体" w:hAnsi="宋体" w:eastAsia="宋体" w:cs="宋体"/>
          <w:bCs/>
          <w:sz w:val="24"/>
          <w:szCs w:val="24"/>
        </w:rPr>
        <w:t>@qq.com</w:t>
      </w:r>
    </w:p>
    <w:p>
      <w:pPr>
        <w:jc w:val="left"/>
        <w:rPr>
          <w:rFonts w:hint="eastAsia" w:ascii="宋体" w:hAnsi="宋体" w:eastAsia="宋体" w:cs="宋体"/>
          <w:sz w:val="24"/>
          <w:szCs w:val="24"/>
          <w:lang w:val="en-US" w:eastAsia="zh-CN"/>
        </w:rPr>
      </w:pPr>
      <w:r>
        <w:rPr>
          <w:rFonts w:hint="eastAsia" w:ascii="宋体" w:hAnsi="宋体" w:eastAsia="宋体" w:cs="宋体"/>
          <w:b/>
          <w:bCs/>
          <w:sz w:val="24"/>
          <w:szCs w:val="24"/>
        </w:rPr>
        <w:t>【摘要】</w:t>
      </w:r>
      <w:r>
        <w:rPr>
          <w:rFonts w:hint="eastAsia" w:ascii="宋体" w:hAnsi="宋体" w:eastAsia="宋体" w:cs="宋体"/>
          <w:sz w:val="24"/>
          <w:szCs w:val="24"/>
        </w:rPr>
        <w:t>普美显是一种临床上常用的肝胆特异性对比剂，它不仅具有一般对比剂的显影功能，同时也能够特异性被肝细胞摄取，并通过胆道系统排泄。</w:t>
      </w:r>
      <w:r>
        <w:rPr>
          <w:rFonts w:hint="eastAsia" w:ascii="宋体" w:hAnsi="宋体" w:eastAsia="宋体" w:cs="宋体"/>
          <w:sz w:val="24"/>
          <w:szCs w:val="24"/>
          <w:lang w:eastAsia="zh-CN"/>
        </w:rPr>
        <w:t>本文总结了正常肝胆系统普美显增强磁共振的成像特点，以及普美显增强磁共振在诊断肝胆系统疾病时的临床应用及研究进展。</w:t>
      </w:r>
    </w:p>
    <w:p>
      <w:pPr>
        <w:jc w:val="left"/>
        <w:rPr>
          <w:rFonts w:hint="eastAsia" w:ascii="宋体" w:hAnsi="宋体" w:eastAsia="宋体" w:cs="宋体"/>
          <w:sz w:val="24"/>
          <w:szCs w:val="24"/>
          <w:lang w:eastAsia="zh-CN"/>
        </w:rPr>
      </w:pPr>
      <w:r>
        <w:rPr>
          <w:rFonts w:hint="eastAsia" w:ascii="宋体" w:hAnsi="宋体" w:eastAsia="宋体" w:cs="宋体"/>
          <w:b/>
          <w:bCs/>
          <w:sz w:val="24"/>
          <w:szCs w:val="24"/>
        </w:rPr>
        <w:t>【关键词】</w:t>
      </w:r>
      <w:r>
        <w:rPr>
          <w:rFonts w:hint="eastAsia" w:ascii="宋体" w:hAnsi="宋体" w:eastAsia="宋体" w:cs="宋体"/>
          <w:sz w:val="24"/>
          <w:szCs w:val="24"/>
        </w:rPr>
        <w:t>普美显；磁共振功能成像</w:t>
      </w:r>
      <w:r>
        <w:rPr>
          <w:rFonts w:hint="eastAsia" w:ascii="宋体" w:hAnsi="宋体" w:eastAsia="宋体" w:cs="宋体"/>
          <w:sz w:val="24"/>
          <w:szCs w:val="24"/>
          <w:lang w:eastAsia="zh-CN"/>
        </w:rPr>
        <w:t>；临床应用；研究进展</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普美显（Primovist）是一种新型肝细胞特异性磁共振对比剂，化学名为钆塞酸二钠（Gadolinium Ethoxybenzyl Diethylenetriaminepentaacetic Acid，Gd-EOB-DTPA）。肝细胞可以通过细胞膜上的一些有机转运体（如有机阴离子转运多肽B1、B3，OATP1B1、OATP1B3）特异性摄取普美显</w:t>
      </w:r>
      <w:r>
        <w:rPr>
          <w:rFonts w:hint="eastAsia" w:ascii="宋体" w:hAnsi="宋体" w:eastAsia="宋体" w:cs="宋体"/>
          <w:sz w:val="24"/>
          <w:szCs w:val="24"/>
          <w:vertAlign w:val="superscript"/>
        </w:rPr>
        <w:t>[1]</w:t>
      </w:r>
      <w:r>
        <w:rPr>
          <w:rFonts w:hint="eastAsia" w:ascii="宋体" w:hAnsi="宋体" w:eastAsia="宋体" w:cs="宋体"/>
          <w:sz w:val="24"/>
          <w:szCs w:val="24"/>
        </w:rPr>
        <w:t>。因此，普美显不仅具有传统对比剂的动态增强显像特点，也能提供肝胆系统功能特异性显像。有研究显示</w:t>
      </w:r>
      <w:r>
        <w:rPr>
          <w:rFonts w:hint="eastAsia" w:ascii="宋体" w:hAnsi="宋体" w:eastAsia="宋体" w:cs="宋体"/>
          <w:sz w:val="24"/>
          <w:szCs w:val="24"/>
          <w:vertAlign w:val="superscript"/>
        </w:rPr>
        <w:t>[2]</w:t>
      </w:r>
      <w:r>
        <w:rPr>
          <w:rFonts w:hint="eastAsia" w:ascii="宋体" w:hAnsi="宋体" w:eastAsia="宋体" w:cs="宋体"/>
          <w:sz w:val="24"/>
          <w:szCs w:val="24"/>
        </w:rPr>
        <w:t>，普美显具有较高的弛豫效能，可以在注射后的T1WI等序列中提供良好的诊断图像。在静脉注射后数分钟内，普美显可以通过细胞间质及肝血窦进入肝细胞内，并在肝细胞内存在很长一段时间。普美显在注射后10-40分钟能够特异性显示肝胆系统，故将这一时期称为肝胆细胞特异期或肝胆期。在肝胆期内，若肝细胞受损或癌变，对普美显的摄取产生障碍，相应区域的肝实质信号强度较正常肝实质信号强度低，因此可以显示病灶位置。普美显可通过肝细胞膜上的出口转运体（如多重耐药蛋白，MRP）排泄至胆管。同时，肾脏也可竞争性排泄普美显，约有50%的普美显可以通过泌尿系统排泄</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vertAlign w:val="superscript"/>
        </w:rPr>
        <w:t>]</w:t>
      </w:r>
      <w:r>
        <w:rPr>
          <w:rFonts w:hint="eastAsia" w:ascii="宋体" w:hAnsi="宋体" w:eastAsia="宋体" w:cs="宋体"/>
          <w:sz w:val="24"/>
          <w:szCs w:val="24"/>
        </w:rPr>
        <w:t>。当肝功能受损时，普美显通过胆道系统排泄受阻，与之对应的是泌尿系统排泄增强。</w:t>
      </w:r>
    </w:p>
    <w:p>
      <w:pPr>
        <w:jc w:val="left"/>
        <w:rPr>
          <w:rFonts w:hint="eastAsia" w:ascii="宋体" w:hAnsi="宋体" w:eastAsia="宋体" w:cs="宋体"/>
          <w:sz w:val="24"/>
          <w:szCs w:val="24"/>
        </w:rPr>
      </w:pPr>
      <w:r>
        <w:rPr>
          <w:rFonts w:hint="eastAsia" w:ascii="宋体" w:hAnsi="宋体" w:eastAsia="宋体" w:cs="宋体"/>
          <w:sz w:val="24"/>
          <w:szCs w:val="24"/>
        </w:rPr>
        <w:t>1 正常肝胆系统普美显增强磁共振成像特点</w:t>
      </w:r>
    </w:p>
    <w:p>
      <w:pPr>
        <w:numPr>
          <w:ilvl w:val="1"/>
          <w:numId w:val="3"/>
        </w:numPr>
        <w:jc w:val="left"/>
        <w:rPr>
          <w:rFonts w:hint="eastAsia" w:ascii="宋体" w:hAnsi="宋体" w:eastAsia="宋体" w:cs="宋体"/>
          <w:sz w:val="24"/>
          <w:szCs w:val="24"/>
        </w:rPr>
      </w:pPr>
      <w:r>
        <w:rPr>
          <w:rFonts w:hint="eastAsia" w:ascii="宋体" w:hAnsi="宋体" w:eastAsia="宋体" w:cs="宋体"/>
          <w:sz w:val="24"/>
          <w:szCs w:val="24"/>
        </w:rPr>
        <w:t>正常肝脏增强扫描特点</w:t>
      </w:r>
    </w:p>
    <w:p>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rPr>
        <w:t>正常人注射普美显后的初始期，肝实质信号强度在第1分钟内处于快速上升阶段，随之而来的是一个接近20分钟的缓慢上升期及一个持续至少90分钟的平台期。有研究</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4</w:t>
      </w:r>
      <w:r>
        <w:rPr>
          <w:rFonts w:hint="eastAsia" w:ascii="宋体" w:hAnsi="宋体" w:eastAsia="宋体" w:cs="宋体"/>
          <w:sz w:val="24"/>
          <w:szCs w:val="24"/>
          <w:vertAlign w:val="superscript"/>
        </w:rPr>
        <w:t>]</w:t>
      </w:r>
      <w:r>
        <w:rPr>
          <w:rFonts w:hint="eastAsia" w:ascii="宋体" w:hAnsi="宋体" w:eastAsia="宋体" w:cs="宋体"/>
          <w:sz w:val="24"/>
          <w:szCs w:val="24"/>
        </w:rPr>
        <w:t>显示，在注射2分钟后，大部分造影剂已经进入肝细胞内。在肝胆期，正常肝细胞特异性吸收普美显，相应区域的肝实质呈均匀高信号。</w:t>
      </w:r>
    </w:p>
    <w:p>
      <w:pPr>
        <w:numPr>
          <w:ilvl w:val="1"/>
          <w:numId w:val="3"/>
        </w:numPr>
        <w:jc w:val="left"/>
        <w:rPr>
          <w:rFonts w:hint="eastAsia" w:ascii="宋体" w:hAnsi="宋体" w:eastAsia="宋体" w:cs="宋体"/>
          <w:sz w:val="24"/>
          <w:szCs w:val="24"/>
        </w:rPr>
      </w:pPr>
      <w:r>
        <w:rPr>
          <w:rFonts w:hint="eastAsia" w:ascii="宋体" w:hAnsi="宋体" w:eastAsia="宋体" w:cs="宋体"/>
          <w:sz w:val="24"/>
          <w:szCs w:val="24"/>
        </w:rPr>
        <w:t>正常胆道系统增强扫描特点</w:t>
      </w:r>
    </w:p>
    <w:p>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rPr>
        <w:t>正常肝细胞在摄取普美显后，大约有50%的普美显通过胆道系统排泄进入十二指肠。在一项有63名健康者参与的实验中</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5</w:t>
      </w:r>
      <w:r>
        <w:rPr>
          <w:rFonts w:hint="eastAsia" w:ascii="宋体" w:hAnsi="宋体" w:eastAsia="宋体" w:cs="宋体"/>
          <w:sz w:val="24"/>
          <w:szCs w:val="24"/>
          <w:vertAlign w:val="superscript"/>
        </w:rPr>
        <w:t>]</w:t>
      </w:r>
      <w:r>
        <w:rPr>
          <w:rFonts w:hint="eastAsia" w:ascii="宋体" w:hAnsi="宋体" w:eastAsia="宋体" w:cs="宋体"/>
          <w:sz w:val="24"/>
          <w:szCs w:val="24"/>
        </w:rPr>
        <w:t>，研究者观察到，普美显注射20分钟后，所有患者的肝内胆管和胆总管均检测到普美显信号（100%）；胆囊检测到信号者53例（86.9%），十二指肠者40例（65.5%）。普美显在胆道系统各节段开始显影的时间分别是：肝内胆管12分13秒；胆总管12分27秒；胆囊13分32秒。上述开始显影时间不受性别、年龄或受试者BMI影响。</w:t>
      </w:r>
      <w:r>
        <w:rPr>
          <w:rFonts w:hint="eastAsia" w:ascii="宋体" w:hAnsi="宋体" w:eastAsia="宋体" w:cs="宋体"/>
          <w:sz w:val="24"/>
          <w:szCs w:val="24"/>
          <w:lang w:eastAsia="zh-CN"/>
        </w:rPr>
        <w:t>另外，</w:t>
      </w:r>
      <w:r>
        <w:rPr>
          <w:rFonts w:hint="eastAsia" w:ascii="宋体" w:hAnsi="宋体" w:eastAsia="宋体" w:cs="宋体"/>
          <w:sz w:val="24"/>
          <w:szCs w:val="24"/>
          <w:lang w:val="en-US" w:eastAsia="zh-CN"/>
        </w:rPr>
        <w:t>Lee等</w:t>
      </w:r>
      <w:r>
        <w:rPr>
          <w:rFonts w:hint="eastAsia" w:ascii="宋体" w:hAnsi="宋体" w:eastAsia="宋体" w:cs="宋体"/>
          <w:sz w:val="24"/>
          <w:szCs w:val="24"/>
          <w:vertAlign w:val="superscript"/>
          <w:lang w:val="en-US" w:eastAsia="zh-CN"/>
        </w:rPr>
        <w:t>[6]</w:t>
      </w:r>
      <w:r>
        <w:rPr>
          <w:rFonts w:hint="eastAsia" w:ascii="宋体" w:hAnsi="宋体" w:eastAsia="宋体" w:cs="宋体"/>
          <w:sz w:val="24"/>
          <w:szCs w:val="24"/>
          <w:lang w:val="en-US" w:eastAsia="zh-CN"/>
        </w:rPr>
        <w:t>对40名健康者进行研究后发现，普美显增强磁共振胆管造影不仅可以显示胆汁在胆道系统及小肠内的分布，而且可以反映胆囊排空率（gallbladder ejection fraction GBEF）。</w:t>
      </w:r>
    </w:p>
    <w:p>
      <w:pPr>
        <w:jc w:val="left"/>
        <w:rPr>
          <w:rFonts w:hint="eastAsia" w:ascii="宋体" w:hAnsi="宋体" w:eastAsia="宋体" w:cs="宋体"/>
          <w:sz w:val="24"/>
          <w:szCs w:val="24"/>
        </w:rPr>
      </w:pPr>
      <w:r>
        <w:rPr>
          <w:rFonts w:hint="eastAsia" w:ascii="宋体" w:hAnsi="宋体" w:eastAsia="宋体" w:cs="宋体"/>
          <w:sz w:val="24"/>
          <w:szCs w:val="24"/>
        </w:rPr>
        <w:t>2 对肝细胞癌（HCC）的诊断</w:t>
      </w:r>
    </w:p>
    <w:p>
      <w:pPr>
        <w:ind w:firstLine="420"/>
        <w:rPr>
          <w:rFonts w:hint="eastAsia" w:ascii="宋体" w:hAnsi="宋体" w:eastAsia="宋体" w:cs="宋体"/>
          <w:bCs/>
          <w:sz w:val="24"/>
          <w:szCs w:val="24"/>
        </w:rPr>
      </w:pPr>
      <w:r>
        <w:rPr>
          <w:rFonts w:hint="eastAsia" w:ascii="宋体" w:hAnsi="宋体" w:eastAsia="宋体" w:cs="宋体"/>
          <w:sz w:val="24"/>
          <w:szCs w:val="24"/>
        </w:rPr>
        <w:t>国内有专家总结</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7</w:t>
      </w:r>
      <w:r>
        <w:rPr>
          <w:rFonts w:hint="eastAsia" w:ascii="宋体" w:hAnsi="宋体" w:eastAsia="宋体" w:cs="宋体"/>
          <w:sz w:val="24"/>
          <w:szCs w:val="24"/>
          <w:vertAlign w:val="superscript"/>
        </w:rPr>
        <w:t>]</w:t>
      </w:r>
      <w:r>
        <w:rPr>
          <w:rFonts w:hint="eastAsia" w:ascii="宋体" w:hAnsi="宋体" w:eastAsia="宋体" w:cs="宋体"/>
          <w:sz w:val="24"/>
          <w:szCs w:val="24"/>
        </w:rPr>
        <w:t>，普美显增强磁共振功能成像（Gd-EOB-DTPA enhanced MRI）可以提高小肝癌的检出率和鉴别诊断的准确性。当肝细胞癌变时，正常摄取功能出现障碍，病变区域对于普美显的摄取减少，在图像上表现为相对低信号</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8</w:t>
      </w:r>
      <w:r>
        <w:rPr>
          <w:rFonts w:hint="eastAsia" w:ascii="宋体" w:hAnsi="宋体" w:eastAsia="宋体" w:cs="宋体"/>
          <w:sz w:val="24"/>
          <w:szCs w:val="24"/>
          <w:vertAlign w:val="superscript"/>
        </w:rPr>
        <w:t>]</w:t>
      </w:r>
      <w:r>
        <w:rPr>
          <w:rFonts w:hint="eastAsia" w:ascii="宋体" w:hAnsi="宋体" w:eastAsia="宋体" w:cs="宋体"/>
          <w:sz w:val="24"/>
          <w:szCs w:val="24"/>
        </w:rPr>
        <w:t>。肝癌细胞在肝胆期对于普美显的摄取是由细胞膜上的OATP1B3表达决定的</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9</w:t>
      </w:r>
      <w:r>
        <w:rPr>
          <w:rFonts w:hint="eastAsia" w:ascii="宋体" w:hAnsi="宋体" w:eastAsia="宋体" w:cs="宋体"/>
          <w:sz w:val="24"/>
          <w:szCs w:val="24"/>
          <w:vertAlign w:val="superscript"/>
        </w:rPr>
        <w:t>]</w:t>
      </w:r>
      <w:r>
        <w:rPr>
          <w:rFonts w:hint="eastAsia" w:ascii="宋体" w:hAnsi="宋体" w:eastAsia="宋体" w:cs="宋体"/>
          <w:sz w:val="24"/>
          <w:szCs w:val="24"/>
        </w:rPr>
        <w:t>。相对于多层螺旋CT（MDCT），普美显增强磁共振在早期就能够观测到血流动力学的改变，也能够更早的发现肝细胞癌及交界性病变。因此普美显增强磁共振对于直径小于2cm的小肝癌的检出率明显高于MDCT</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10</w:t>
      </w:r>
      <w:r>
        <w:rPr>
          <w:rFonts w:hint="eastAsia" w:ascii="宋体" w:hAnsi="宋体" w:eastAsia="宋体" w:cs="宋体"/>
          <w:sz w:val="24"/>
          <w:szCs w:val="24"/>
          <w:vertAlign w:val="superscript"/>
        </w:rPr>
        <w:t>]</w:t>
      </w:r>
      <w:r>
        <w:rPr>
          <w:rFonts w:hint="eastAsia" w:ascii="宋体" w:hAnsi="宋体" w:eastAsia="宋体" w:cs="宋体"/>
          <w:sz w:val="24"/>
          <w:szCs w:val="24"/>
        </w:rPr>
        <w:t>。有国内学者进行实验得出结论</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11</w:t>
      </w:r>
      <w:r>
        <w:rPr>
          <w:rFonts w:hint="eastAsia" w:ascii="宋体" w:hAnsi="宋体" w:eastAsia="宋体" w:cs="宋体"/>
          <w:sz w:val="24"/>
          <w:szCs w:val="24"/>
          <w:vertAlign w:val="superscript"/>
        </w:rPr>
        <w:t>]</w:t>
      </w:r>
      <w:r>
        <w:rPr>
          <w:rFonts w:hint="eastAsia" w:ascii="宋体" w:hAnsi="宋体" w:eastAsia="宋体" w:cs="宋体"/>
          <w:sz w:val="24"/>
          <w:szCs w:val="24"/>
        </w:rPr>
        <w:t>，普美显增强磁共振较磁共振平扫联合常规三期增强扫描对于肝细胞癌的诊断符合率更高。因此，</w:t>
      </w:r>
      <w:r>
        <w:rPr>
          <w:rFonts w:hint="eastAsia" w:ascii="宋体" w:hAnsi="宋体" w:eastAsia="宋体" w:cs="宋体"/>
          <w:bCs/>
          <w:sz w:val="24"/>
          <w:szCs w:val="24"/>
        </w:rPr>
        <w:t>Riccardo等</w:t>
      </w:r>
      <w:r>
        <w:rPr>
          <w:rFonts w:hint="eastAsia" w:ascii="宋体" w:hAnsi="宋体" w:eastAsia="宋体" w:cs="宋体"/>
          <w:bCs/>
          <w:sz w:val="24"/>
          <w:szCs w:val="24"/>
          <w:vertAlign w:val="superscript"/>
        </w:rPr>
        <w:t>[</w:t>
      </w:r>
      <w:r>
        <w:rPr>
          <w:rFonts w:hint="eastAsia" w:ascii="宋体" w:hAnsi="宋体" w:eastAsia="宋体" w:cs="宋体"/>
          <w:bCs/>
          <w:sz w:val="24"/>
          <w:szCs w:val="24"/>
          <w:vertAlign w:val="superscript"/>
          <w:lang w:val="en-US" w:eastAsia="zh-CN"/>
        </w:rPr>
        <w:t>12</w:t>
      </w:r>
      <w:r>
        <w:rPr>
          <w:rFonts w:hint="eastAsia" w:ascii="宋体" w:hAnsi="宋体" w:eastAsia="宋体" w:cs="宋体"/>
          <w:bCs/>
          <w:sz w:val="24"/>
          <w:szCs w:val="24"/>
          <w:vertAlign w:val="superscript"/>
        </w:rPr>
        <w:t>]</w:t>
      </w:r>
      <w:r>
        <w:rPr>
          <w:rFonts w:hint="eastAsia" w:ascii="宋体" w:hAnsi="宋体" w:eastAsia="宋体" w:cs="宋体"/>
          <w:bCs/>
          <w:sz w:val="24"/>
          <w:szCs w:val="24"/>
        </w:rPr>
        <w:t>认为在诊断有肝结节的肝硬化患者时，普美显增强磁共振应被视为一线方法。</w:t>
      </w:r>
    </w:p>
    <w:p>
      <w:pPr>
        <w:ind w:firstLine="420"/>
        <w:rPr>
          <w:rFonts w:hint="eastAsia" w:ascii="宋体" w:hAnsi="宋体" w:eastAsia="宋体" w:cs="宋体"/>
          <w:bCs/>
          <w:sz w:val="24"/>
          <w:szCs w:val="24"/>
          <w:lang w:val="en-US" w:eastAsia="zh-CN"/>
        </w:rPr>
      </w:pPr>
      <w:r>
        <w:rPr>
          <w:rFonts w:hint="eastAsia" w:ascii="宋体" w:hAnsi="宋体" w:eastAsia="宋体" w:cs="宋体"/>
          <w:bCs/>
          <w:sz w:val="24"/>
          <w:szCs w:val="24"/>
          <w:lang w:eastAsia="zh-CN"/>
        </w:rPr>
        <w:t>普美显增强磁共振与实验室检查相结合，可以提高</w:t>
      </w:r>
      <w:r>
        <w:rPr>
          <w:rFonts w:hint="eastAsia" w:ascii="宋体" w:hAnsi="宋体" w:eastAsia="宋体" w:cs="宋体"/>
          <w:bCs/>
          <w:sz w:val="24"/>
          <w:szCs w:val="24"/>
          <w:lang w:val="en-US" w:eastAsia="zh-CN"/>
        </w:rPr>
        <w:t>HCC的诊断率。甲胎蛋白（AFP）是临床上筛选HCC的常用实验室指标，但其敏感性与特异性不高。当测量血AFP值的同时进行普美显增强磁共振，有助于提升对于HCC的诊断率</w:t>
      </w:r>
      <w:r>
        <w:rPr>
          <w:rFonts w:hint="eastAsia" w:ascii="宋体" w:hAnsi="宋体" w:eastAsia="宋体" w:cs="宋体"/>
          <w:bCs/>
          <w:sz w:val="24"/>
          <w:szCs w:val="24"/>
          <w:vertAlign w:val="superscript"/>
          <w:lang w:val="en-US" w:eastAsia="zh-CN"/>
        </w:rPr>
        <w:t>[13]</w:t>
      </w:r>
      <w:r>
        <w:rPr>
          <w:rFonts w:hint="eastAsia" w:ascii="宋体" w:hAnsi="宋体" w:eastAsia="宋体" w:cs="宋体"/>
          <w:bCs/>
          <w:sz w:val="24"/>
          <w:szCs w:val="24"/>
          <w:lang w:val="en-US" w:eastAsia="zh-CN"/>
        </w:rPr>
        <w:t>。</w:t>
      </w:r>
    </w:p>
    <w:p>
      <w:pPr>
        <w:jc w:val="left"/>
        <w:rPr>
          <w:rFonts w:hint="eastAsia" w:ascii="宋体" w:hAnsi="宋体" w:eastAsia="宋体" w:cs="宋体"/>
          <w:sz w:val="24"/>
          <w:szCs w:val="24"/>
        </w:rPr>
      </w:pPr>
      <w:r>
        <w:rPr>
          <w:rFonts w:hint="eastAsia" w:ascii="宋体" w:hAnsi="宋体" w:eastAsia="宋体" w:cs="宋体"/>
          <w:sz w:val="24"/>
          <w:szCs w:val="24"/>
        </w:rPr>
        <w:t>3 对肝细胞癌术后的随访检查</w:t>
      </w:r>
    </w:p>
    <w:p>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肝细胞术后复发是肝细胞癌的合并症，早期发现肝细胞癌的复发对于患者的预后有所帮助。有国外研究</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14</w:t>
      </w:r>
      <w:r>
        <w:rPr>
          <w:rFonts w:hint="eastAsia" w:ascii="宋体" w:hAnsi="宋体" w:eastAsia="宋体" w:cs="宋体"/>
          <w:sz w:val="24"/>
          <w:szCs w:val="24"/>
          <w:vertAlign w:val="superscript"/>
        </w:rPr>
        <w:t>]</w:t>
      </w:r>
      <w:r>
        <w:rPr>
          <w:rFonts w:hint="eastAsia" w:ascii="宋体" w:hAnsi="宋体" w:eastAsia="宋体" w:cs="宋体"/>
          <w:sz w:val="24"/>
          <w:szCs w:val="24"/>
        </w:rPr>
        <w:t>表明，肝细胞癌术后，普美显增强磁共振肝胆期图像上肿瘤边缘不光整对于肿瘤复发、门静脉侵犯及肝内转移有着预测作用，可以为后续治疗提供影像学依据。</w:t>
      </w:r>
    </w:p>
    <w:p>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 对肝转移瘤的诊断</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肝转移瘤是肿瘤的一种并发症，在普美显磁共振增强扫描的不同时期有着不同的影像学表现。Granata等</w:t>
      </w:r>
      <w:r>
        <w:rPr>
          <w:rFonts w:hint="eastAsia" w:ascii="宋体" w:hAnsi="宋体" w:eastAsia="宋体" w:cs="宋体"/>
          <w:sz w:val="24"/>
          <w:szCs w:val="24"/>
          <w:vertAlign w:val="superscript"/>
          <w:lang w:val="en-US" w:eastAsia="zh-CN"/>
        </w:rPr>
        <w:t>[15]</w:t>
      </w:r>
      <w:r>
        <w:rPr>
          <w:rFonts w:hint="eastAsia" w:ascii="宋体" w:hAnsi="宋体" w:eastAsia="宋体" w:cs="宋体"/>
          <w:sz w:val="24"/>
          <w:szCs w:val="24"/>
          <w:lang w:val="en-US" w:eastAsia="zh-CN"/>
        </w:rPr>
        <w:t>在对结直肠的肝转移瘤研究过程中发现，部分病灶不典型摄取造影剂，在普美显磁共振增强扫描的动脉期表现为典型的“环征”，而在门脉期、平衡期及延迟期表现为“靶征”。 Donati等</w:t>
      </w:r>
      <w:r>
        <w:rPr>
          <w:rFonts w:hint="eastAsia" w:ascii="宋体" w:hAnsi="宋体" w:eastAsia="宋体" w:cs="宋体"/>
          <w:sz w:val="24"/>
          <w:szCs w:val="24"/>
          <w:vertAlign w:val="superscript"/>
          <w:lang w:val="en-US" w:eastAsia="zh-CN"/>
        </w:rPr>
        <w:t>[16]</w:t>
      </w:r>
      <w:r>
        <w:rPr>
          <w:rFonts w:hint="eastAsia" w:ascii="宋体" w:hAnsi="宋体" w:eastAsia="宋体" w:cs="宋体"/>
          <w:sz w:val="24"/>
          <w:szCs w:val="24"/>
          <w:lang w:val="en-US" w:eastAsia="zh-CN"/>
        </w:rPr>
        <w:t>评估了单独及联合应用普美显增强磁共振及DWI诊断肝转移瘤的准确性与可靠性，结果证实普美显增强磁共振联合DWI并不能显著提升对于肝转移瘤的诊断准确性，但却能提高其可靠性。同时，在与CT增强扫描的比较中，有研究</w:t>
      </w:r>
      <w:r>
        <w:rPr>
          <w:rFonts w:hint="eastAsia" w:ascii="宋体" w:hAnsi="宋体" w:eastAsia="宋体" w:cs="宋体"/>
          <w:sz w:val="24"/>
          <w:szCs w:val="24"/>
          <w:vertAlign w:val="superscript"/>
          <w:lang w:val="en-US" w:eastAsia="zh-CN"/>
        </w:rPr>
        <w:t>[17]</w:t>
      </w:r>
      <w:r>
        <w:rPr>
          <w:rFonts w:hint="eastAsia" w:ascii="宋体" w:hAnsi="宋体" w:eastAsia="宋体" w:cs="宋体"/>
          <w:sz w:val="24"/>
          <w:szCs w:val="24"/>
          <w:lang w:val="en-US" w:eastAsia="zh-CN"/>
        </w:rPr>
        <w:t>证实钆塞酸增强磁共振对于肝转移瘤有显著的敏感性。</w:t>
      </w:r>
    </w:p>
    <w:p>
      <w:pPr>
        <w:jc w:val="left"/>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对不典型增生结节（dysplasticnodule DN）的诊断</w:t>
      </w:r>
    </w:p>
    <w:p>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DN是肝细胞癌的癌前病变，随着病情的进展，DN由低级别不典型增生结节（low grade dysplastic nodules</w:t>
      </w:r>
      <w:r>
        <w:rPr>
          <w:rFonts w:hint="eastAsia" w:ascii="宋体" w:hAnsi="宋体" w:eastAsia="宋体" w:cs="宋体"/>
          <w:sz w:val="24"/>
          <w:szCs w:val="24"/>
          <w:lang w:eastAsia="zh-CN"/>
        </w:rPr>
        <w:t>，</w:t>
      </w:r>
      <w:r>
        <w:rPr>
          <w:rFonts w:hint="eastAsia" w:ascii="宋体" w:hAnsi="宋体" w:eastAsia="宋体" w:cs="宋体"/>
          <w:sz w:val="24"/>
          <w:szCs w:val="24"/>
        </w:rPr>
        <w:t>LGDN）逐渐发展为高级别不典型增生结节（high grade dysplastic nodules</w:t>
      </w:r>
      <w:r>
        <w:rPr>
          <w:rFonts w:hint="eastAsia" w:ascii="宋体" w:hAnsi="宋体" w:eastAsia="宋体" w:cs="宋体"/>
          <w:sz w:val="24"/>
          <w:szCs w:val="24"/>
          <w:lang w:eastAsia="zh-CN"/>
        </w:rPr>
        <w:t>，</w:t>
      </w:r>
      <w:r>
        <w:rPr>
          <w:rFonts w:hint="eastAsia" w:ascii="宋体" w:hAnsi="宋体" w:eastAsia="宋体" w:cs="宋体"/>
          <w:sz w:val="24"/>
          <w:szCs w:val="24"/>
        </w:rPr>
        <w:t>HGDN），最终发展为肝细胞癌</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18</w:t>
      </w:r>
      <w:r>
        <w:rPr>
          <w:rFonts w:hint="eastAsia" w:ascii="宋体" w:hAnsi="宋体" w:eastAsia="宋体" w:cs="宋体"/>
          <w:sz w:val="24"/>
          <w:szCs w:val="24"/>
          <w:vertAlign w:val="superscript"/>
        </w:rPr>
        <w:t>]</w:t>
      </w:r>
      <w:r>
        <w:rPr>
          <w:rFonts w:hint="eastAsia" w:ascii="宋体" w:hAnsi="宋体" w:eastAsia="宋体" w:cs="宋体"/>
          <w:sz w:val="24"/>
          <w:szCs w:val="24"/>
        </w:rPr>
        <w:t>。有研究显示</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19</w:t>
      </w:r>
      <w:r>
        <w:rPr>
          <w:rFonts w:hint="eastAsia" w:ascii="宋体" w:hAnsi="宋体" w:eastAsia="宋体" w:cs="宋体"/>
          <w:sz w:val="24"/>
          <w:szCs w:val="24"/>
          <w:vertAlign w:val="superscript"/>
        </w:rPr>
        <w:t>]</w:t>
      </w:r>
      <w:r>
        <w:rPr>
          <w:rFonts w:hint="eastAsia" w:ascii="宋体" w:hAnsi="宋体" w:eastAsia="宋体" w:cs="宋体"/>
          <w:sz w:val="24"/>
          <w:szCs w:val="24"/>
        </w:rPr>
        <w:t>，普美显增强磁共振的延迟相成像（delayed phase imaging DPI）有助于区分LGDN、HGDN和HCC，在DPI上显示为低信号的病灶应高度怀疑为HGDN或乏血管HCC。</w:t>
      </w:r>
    </w:p>
    <w:p>
      <w:pPr>
        <w:jc w:val="left"/>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对胆道系统疾病的诊断</w:t>
      </w:r>
    </w:p>
    <w:p>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磁共振胰胆管造影（Magnetic Resonance Cholangiopancreatography</w:t>
      </w:r>
      <w:r>
        <w:rPr>
          <w:rFonts w:hint="eastAsia" w:ascii="宋体" w:hAnsi="宋体" w:eastAsia="宋体" w:cs="宋体"/>
          <w:sz w:val="24"/>
          <w:szCs w:val="24"/>
          <w:lang w:eastAsia="zh-CN"/>
        </w:rPr>
        <w:t>，</w:t>
      </w:r>
      <w:r>
        <w:rPr>
          <w:rFonts w:hint="eastAsia" w:ascii="宋体" w:hAnsi="宋体" w:eastAsia="宋体" w:cs="宋体"/>
          <w:sz w:val="24"/>
          <w:szCs w:val="24"/>
        </w:rPr>
        <w:t>MRCP）是一种临床常用的胆道系统影像学检查，可以清晰显示胆道系统的形态。但MRCP的缺点在于无法反映胆道系统的功能。普美显作为一种肝胆特异性对比剂，约有一半通过胆道系统排泄，故在肝胆延迟期可出现胆道强化。国外有研究表明，由于普美显在胆道系统内的聚集，普美显增强MRCP能够对术后并发症（如瘘管、胆漏及其他类型的胆道梗阻）进行准确诊断</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20</w:t>
      </w:r>
      <w:r>
        <w:rPr>
          <w:rFonts w:hint="eastAsia" w:ascii="宋体" w:hAnsi="宋体" w:eastAsia="宋体" w:cs="宋体"/>
          <w:sz w:val="24"/>
          <w:szCs w:val="24"/>
          <w:vertAlign w:val="superscript"/>
        </w:rPr>
        <w:t>]</w:t>
      </w:r>
      <w:r>
        <w:rPr>
          <w:rFonts w:hint="eastAsia" w:ascii="宋体" w:hAnsi="宋体" w:eastAsia="宋体" w:cs="宋体"/>
          <w:sz w:val="24"/>
          <w:szCs w:val="24"/>
        </w:rPr>
        <w:t>。其中对于胆漏的研究最多。Ratcliffed等</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21</w:t>
      </w:r>
      <w:r>
        <w:rPr>
          <w:rFonts w:hint="eastAsia" w:ascii="宋体" w:hAnsi="宋体" w:eastAsia="宋体" w:cs="宋体"/>
          <w:sz w:val="24"/>
          <w:szCs w:val="24"/>
          <w:vertAlign w:val="superscript"/>
        </w:rPr>
        <w:t>]</w:t>
      </w:r>
      <w:r>
        <w:rPr>
          <w:rFonts w:hint="eastAsia" w:ascii="宋体" w:hAnsi="宋体" w:eastAsia="宋体" w:cs="宋体"/>
          <w:sz w:val="24"/>
          <w:szCs w:val="24"/>
        </w:rPr>
        <w:t>对于16名曾经进行过普美显MRCP的疑似胆漏患者进行回顾性研究，结果对于胆漏的诊断准确率高达80%，说明普美显MRCP对于胆漏的检测具有较高的敏感性和特异性。另外，有报道显示</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22</w:t>
      </w:r>
      <w:r>
        <w:rPr>
          <w:rFonts w:hint="eastAsia" w:ascii="宋体" w:hAnsi="宋体" w:eastAsia="宋体" w:cs="宋体"/>
          <w:sz w:val="24"/>
          <w:szCs w:val="24"/>
          <w:vertAlign w:val="superscript"/>
        </w:rPr>
        <w:t>]</w:t>
      </w:r>
      <w:r>
        <w:rPr>
          <w:rFonts w:hint="eastAsia" w:ascii="宋体" w:hAnsi="宋体" w:eastAsia="宋体" w:cs="宋体"/>
          <w:sz w:val="24"/>
          <w:szCs w:val="24"/>
        </w:rPr>
        <w:t>，注射普美显后60-180分钟后进行延迟扫描，即使患者有胆道系统扩张或中度肝功能障碍，仍然可以准确诊断胆漏。</w:t>
      </w:r>
    </w:p>
    <w:p>
      <w:pPr>
        <w:jc w:val="left"/>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 xml:space="preserve"> 对肝功能的评估</w:t>
      </w:r>
    </w:p>
    <w:p>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肝细胞癌通常合并有慢性肝脏疾病，可以导致不同程度的肝功能损害，所造成的肝功能储备降低是导致术后肝功能衰竭的重要原因</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23</w:t>
      </w:r>
      <w:r>
        <w:rPr>
          <w:rFonts w:hint="eastAsia" w:ascii="宋体" w:hAnsi="宋体" w:eastAsia="宋体" w:cs="宋体"/>
          <w:sz w:val="24"/>
          <w:szCs w:val="24"/>
          <w:vertAlign w:val="superscript"/>
        </w:rPr>
        <w:t>]</w:t>
      </w:r>
      <w:r>
        <w:rPr>
          <w:rFonts w:hint="eastAsia" w:ascii="宋体" w:hAnsi="宋体" w:eastAsia="宋体" w:cs="宋体"/>
          <w:sz w:val="24"/>
          <w:szCs w:val="24"/>
        </w:rPr>
        <w:t>。因此，准确评估肝功能对患者的预后有重要意义。现阶段临床上常用的肝功能评估方法有Child-Pugh评分、吲哚靛青绿储留率（IGGR15）及Tc-99m半乳糖基人血清白蛋白（GSA）等。但有报道显示</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24</w:t>
      </w:r>
      <w:r>
        <w:rPr>
          <w:rFonts w:hint="eastAsia" w:ascii="宋体" w:hAnsi="宋体" w:eastAsia="宋体" w:cs="宋体"/>
          <w:sz w:val="24"/>
          <w:szCs w:val="24"/>
          <w:vertAlign w:val="superscript"/>
        </w:rPr>
        <w:t>]</w:t>
      </w:r>
      <w:r>
        <w:rPr>
          <w:rFonts w:hint="eastAsia" w:ascii="宋体" w:hAnsi="宋体" w:eastAsia="宋体" w:cs="宋体"/>
          <w:sz w:val="24"/>
          <w:szCs w:val="24"/>
        </w:rPr>
        <w:t>，吲哚靛青绿储留率及Tc-99m半乳糖基人血清白蛋白评价肝功能有相应的缺陷。Child-Pugh评分结合了白蛋白、总胆红素、凝血酶原时间、腹水及肝性脑病等指标，较单独参数更能反映肝功能储备，是临床评价肝功能最常用的方法</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25</w:t>
      </w:r>
      <w:r>
        <w:rPr>
          <w:rFonts w:hint="eastAsia" w:ascii="宋体" w:hAnsi="宋体" w:eastAsia="宋体" w:cs="宋体"/>
          <w:sz w:val="24"/>
          <w:szCs w:val="24"/>
          <w:vertAlign w:val="superscript"/>
        </w:rPr>
        <w:t>]</w:t>
      </w:r>
      <w:r>
        <w:rPr>
          <w:rFonts w:hint="eastAsia" w:ascii="宋体" w:hAnsi="宋体" w:eastAsia="宋体" w:cs="宋体"/>
          <w:sz w:val="24"/>
          <w:szCs w:val="24"/>
        </w:rPr>
        <w:t>。普美显增强磁共振对肝功能的评估与肝功能Child-Pugh评分中的白蛋白和总胆红素两项指标有显著的相关性，提示从外科学角度来说，普美显增强磁共振可以评估肝功能，并且准确描述局灶性肝脏病变的特征</w:t>
      </w:r>
      <w:r>
        <w:rPr>
          <w:rFonts w:hint="eastAsia" w:ascii="宋体" w:hAnsi="宋体" w:eastAsia="宋体" w:cs="宋体"/>
          <w:sz w:val="24"/>
          <w:szCs w:val="24"/>
          <w:vertAlign w:val="superscript"/>
        </w:rPr>
        <w:t>[</w:t>
      </w:r>
      <w:r>
        <w:rPr>
          <w:rFonts w:hint="eastAsia" w:ascii="宋体" w:hAnsi="宋体" w:eastAsia="宋体" w:cs="宋体"/>
          <w:sz w:val="24"/>
          <w:szCs w:val="24"/>
          <w:vertAlign w:val="superscript"/>
          <w:lang w:val="en-US" w:eastAsia="zh-CN"/>
        </w:rPr>
        <w:t>26</w:t>
      </w:r>
      <w:r>
        <w:rPr>
          <w:rFonts w:hint="eastAsia" w:ascii="宋体" w:hAnsi="宋体" w:eastAsia="宋体" w:cs="宋体"/>
          <w:sz w:val="24"/>
          <w:szCs w:val="24"/>
          <w:vertAlign w:val="superscript"/>
        </w:rPr>
        <w:t>]</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vertAlign w:val="baseline"/>
          <w:lang w:val="en-US" w:eastAsia="zh-CN"/>
        </w:rPr>
        <w:t xml:space="preserve">8 </w:t>
      </w:r>
      <w:r>
        <w:rPr>
          <w:rFonts w:hint="eastAsia" w:ascii="宋体" w:hAnsi="宋体" w:eastAsia="宋体" w:cs="宋体"/>
          <w:sz w:val="24"/>
          <w:szCs w:val="24"/>
        </w:rPr>
        <w:t>普美显增强磁共振的展望</w:t>
      </w:r>
    </w:p>
    <w:p>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普美显作为肝胆特异性对比剂，已经在临床工作中得以广泛的应用。由于具有高诊断率及良好的安全性，普美显增强磁共振在肝胆疾病的诊断方面有着独特的优势。在今后的临床应用及研究中，普美显增强磁共振仍将在肝胆疾病的诊断领域，如不典型增生结节与早期小肝癌的鉴别诊断等方面具有广阔的前景。</w:t>
      </w:r>
    </w:p>
    <w:p>
      <w:pPr>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【参考文献】</w:t>
      </w:r>
    </w:p>
    <w:p>
      <w:pPr>
        <w:numPr>
          <w:ilvl w:val="0"/>
          <w:numId w:val="4"/>
        </w:numPr>
        <w:ind w:left="315" w:hanging="360" w:hangingChars="15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Jianwei Wu,H</w:t>
      </w:r>
      <w:r>
        <w:rPr>
          <w:rFonts w:hint="eastAsia" w:ascii="宋体" w:hAnsi="宋体" w:eastAsia="宋体" w:cs="宋体"/>
          <w:sz w:val="24"/>
          <w:szCs w:val="24"/>
        </w:rPr>
        <w:t>ui Li et al.Value of gadox</w:t>
      </w:r>
      <w:r>
        <w:rPr>
          <w:rFonts w:hint="eastAsia" w:ascii="宋体" w:hAnsi="宋体" w:eastAsia="宋体" w:cs="宋体"/>
          <w:color w:val="000000"/>
          <w:kern w:val="0"/>
          <w:sz w:val="24"/>
          <w:szCs w:val="24"/>
        </w:rPr>
        <w:t>etate biliary transit time in determining hepatocyte function</w:t>
      </w:r>
      <w:r>
        <w:rPr>
          <w:rFonts w:hint="eastAsia" w:ascii="宋体" w:hAnsi="宋体" w:eastAsia="宋体" w:cs="宋体"/>
          <w:i w:val="0"/>
          <w:caps w:val="0"/>
          <w:color w:val="333333"/>
          <w:spacing w:val="0"/>
          <w:sz w:val="24"/>
          <w:szCs w:val="24"/>
          <w:shd w:val="clear" w:color="auto" w:fill="FFFFFF"/>
        </w:rPr>
        <w:t>[J]</w:t>
      </w:r>
      <w:r>
        <w:rPr>
          <w:rFonts w:hint="eastAsia" w:ascii="宋体" w:hAnsi="宋体" w:eastAsia="宋体" w:cs="宋体"/>
          <w:color w:val="000000"/>
          <w:kern w:val="0"/>
          <w:sz w:val="24"/>
          <w:szCs w:val="24"/>
        </w:rPr>
        <w:t>.Abdom Imaging,2015,40(1):95-101.</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谭静,陶海波</w:t>
      </w:r>
      <w:r>
        <w:rPr>
          <w:rFonts w:hint="eastAsia" w:ascii="宋体" w:hAnsi="宋体" w:eastAsia="宋体" w:cs="宋体"/>
          <w:sz w:val="24"/>
          <w:szCs w:val="24"/>
          <w:lang w:val="en-US" w:eastAsia="zh-CN"/>
        </w:rPr>
        <w:t xml:space="preserve"> 等</w:t>
      </w:r>
      <w:r>
        <w:rPr>
          <w:rFonts w:hint="eastAsia" w:ascii="宋体" w:hAnsi="宋体" w:eastAsia="宋体" w:cs="宋体"/>
          <w:sz w:val="24"/>
          <w:szCs w:val="24"/>
        </w:rPr>
        <w:t>:磁共振肝胆特异性对比剂量普美显Gd-EOB-DTPA的临床应用进展.现代肿瘤医学</w:t>
      </w:r>
      <w:r>
        <w:rPr>
          <w:rFonts w:hint="eastAsia" w:ascii="宋体" w:hAnsi="宋体" w:eastAsia="宋体" w:cs="宋体"/>
          <w:i w:val="0"/>
          <w:caps w:val="0"/>
          <w:color w:val="333333"/>
          <w:spacing w:val="0"/>
          <w:sz w:val="24"/>
          <w:szCs w:val="24"/>
          <w:shd w:val="clear" w:color="auto" w:fill="FFFFFF"/>
        </w:rPr>
        <w:t>[J]</w:t>
      </w:r>
      <w:r>
        <w:rPr>
          <w:rFonts w:hint="eastAsia" w:ascii="宋体" w:hAnsi="宋体" w:eastAsia="宋体" w:cs="宋体"/>
          <w:sz w:val="24"/>
          <w:szCs w:val="24"/>
          <w:lang w:val="en-US" w:eastAsia="zh-CN"/>
        </w:rPr>
        <w:t>,</w:t>
      </w:r>
      <w:r>
        <w:rPr>
          <w:rFonts w:hint="eastAsia" w:ascii="宋体" w:hAnsi="宋体" w:eastAsia="宋体" w:cs="宋体"/>
          <w:sz w:val="24"/>
          <w:szCs w:val="24"/>
        </w:rPr>
        <w:t>2016,24（12）</w:t>
      </w:r>
      <w:r>
        <w:rPr>
          <w:rFonts w:hint="eastAsia" w:ascii="宋体" w:hAnsi="宋体" w:eastAsia="宋体" w:cs="宋体"/>
          <w:sz w:val="24"/>
          <w:szCs w:val="24"/>
          <w:lang w:val="en-US" w:eastAsia="zh-CN"/>
        </w:rPr>
        <w:t>:</w:t>
      </w:r>
      <w:r>
        <w:rPr>
          <w:rFonts w:hint="eastAsia" w:ascii="宋体" w:hAnsi="宋体" w:eastAsia="宋体" w:cs="宋体"/>
          <w:sz w:val="24"/>
          <w:szCs w:val="24"/>
        </w:rPr>
        <w:t>1991-1994.</w:t>
      </w:r>
    </w:p>
    <w:p>
      <w:pPr>
        <w:numPr>
          <w:ilvl w:val="0"/>
          <w:numId w:val="4"/>
        </w:numPr>
        <w:ind w:left="315" w:hanging="360" w:hangingChars="150"/>
        <w:rPr>
          <w:rFonts w:hint="eastAsia" w:ascii="宋体" w:hAnsi="宋体" w:eastAsia="宋体" w:cs="宋体"/>
          <w:i w:val="0"/>
          <w:caps w:val="0"/>
          <w:color w:val="333333"/>
          <w:spacing w:val="0"/>
          <w:sz w:val="24"/>
          <w:szCs w:val="24"/>
          <w:shd w:val="clear" w:color="auto" w:fill="FFFFFF"/>
        </w:rPr>
      </w:pPr>
      <w:r>
        <w:rPr>
          <w:rFonts w:hint="eastAsia" w:ascii="宋体" w:hAnsi="宋体" w:eastAsia="宋体" w:cs="宋体"/>
          <w:i w:val="0"/>
          <w:caps w:val="0"/>
          <w:color w:val="333333"/>
          <w:spacing w:val="0"/>
          <w:sz w:val="24"/>
          <w:szCs w:val="24"/>
          <w:shd w:val="clear" w:color="auto" w:fill="FFFFFF"/>
        </w:rPr>
        <w:t>Tsutomu Tamada,Katsuyoshi Ito,et al.Gd-EOB-DTPA enhanced MR imaging: Evaluation of biliary and renal excretion in normal and cirrhotic livers[J].European Journal of Radiology,2011,80(3):207-211.</w:t>
      </w:r>
    </w:p>
    <w:p>
      <w:pPr>
        <w:numPr>
          <w:ilvl w:val="0"/>
          <w:numId w:val="4"/>
        </w:numPr>
        <w:ind w:left="315" w:hanging="360" w:hangingChars="150"/>
        <w:rPr>
          <w:rFonts w:hint="eastAsia" w:ascii="宋体" w:hAnsi="宋体" w:eastAsia="宋体" w:cs="宋体"/>
          <w:i w:val="0"/>
          <w:caps w:val="0"/>
          <w:color w:val="333333"/>
          <w:spacing w:val="0"/>
          <w:sz w:val="24"/>
          <w:szCs w:val="24"/>
          <w:shd w:val="clear" w:color="auto" w:fill="FFFFFF"/>
        </w:rPr>
      </w:pPr>
      <w:r>
        <w:rPr>
          <w:rFonts w:hint="eastAsia" w:ascii="宋体" w:hAnsi="宋体" w:eastAsia="宋体" w:cs="宋体"/>
          <w:i w:val="0"/>
          <w:caps w:val="0"/>
          <w:color w:val="333333"/>
          <w:spacing w:val="0"/>
          <w:sz w:val="24"/>
          <w:szCs w:val="24"/>
          <w:shd w:val="clear" w:color="auto" w:fill="FFFFFF"/>
        </w:rPr>
        <w:t>Bang-Bin,Chen,Chao-Yu Hsu,et al.Clinical and Histologic Implications of Delayed Hepatobiliary Enhancement on Magnetic Resonance Imaging With Gadolinium Ethoxybenzyl Diethylenetriaminepentaacetic Acid[J].Invest Radiol,2014,47(11):649-655.</w:t>
      </w:r>
    </w:p>
    <w:p>
      <w:pPr>
        <w:numPr>
          <w:ilvl w:val="0"/>
          <w:numId w:val="4"/>
        </w:numPr>
        <w:ind w:left="315" w:hanging="360" w:hangingChars="150"/>
        <w:rPr>
          <w:rFonts w:hint="eastAsia" w:ascii="宋体" w:hAnsi="宋体" w:eastAsia="宋体" w:cs="宋体"/>
          <w:i w:val="0"/>
          <w:caps w:val="0"/>
          <w:color w:val="333333"/>
          <w:spacing w:val="0"/>
          <w:sz w:val="24"/>
          <w:szCs w:val="24"/>
          <w:shd w:val="clear" w:color="auto" w:fill="FFFFFF"/>
          <w:lang w:val="en-US" w:eastAsia="zh-CN"/>
        </w:rPr>
      </w:pPr>
      <w:bookmarkStart w:id="32" w:name="baep-author-id4"/>
      <w:r>
        <w:rPr>
          <w:rFonts w:hint="eastAsia" w:ascii="宋体" w:hAnsi="宋体" w:eastAsia="宋体" w:cs="宋体"/>
          <w:i w:val="0"/>
          <w:caps w:val="0"/>
          <w:color w:val="333333"/>
          <w:spacing w:val="0"/>
          <w:sz w:val="24"/>
          <w:szCs w:val="24"/>
          <w:shd w:val="clear" w:color="auto" w:fill="FFFFFF"/>
          <w:lang w:val="en-US" w:eastAsia="zh-CN"/>
        </w:rPr>
        <w:t>Kristina Ringe</w:t>
      </w:r>
      <w:bookmarkEnd w:id="32"/>
      <w:r>
        <w:rPr>
          <w:rFonts w:hint="eastAsia" w:ascii="宋体" w:hAnsi="宋体" w:eastAsia="宋体" w:cs="宋体"/>
          <w:i w:val="0"/>
          <w:caps w:val="0"/>
          <w:color w:val="333333"/>
          <w:spacing w:val="0"/>
          <w:sz w:val="24"/>
          <w:szCs w:val="24"/>
          <w:shd w:val="clear" w:color="auto" w:fill="FFFFFF"/>
          <w:lang w:val="en-US" w:eastAsia="zh-CN"/>
        </w:rPr>
        <w:t>,</w:t>
      </w:r>
      <w:bookmarkStart w:id="33" w:name="baep-author-id5"/>
      <w:r>
        <w:rPr>
          <w:rFonts w:hint="eastAsia" w:ascii="宋体" w:hAnsi="宋体" w:eastAsia="宋体" w:cs="宋体"/>
          <w:i w:val="0"/>
          <w:caps w:val="0"/>
          <w:color w:val="333333"/>
          <w:spacing w:val="0"/>
          <w:sz w:val="24"/>
          <w:szCs w:val="24"/>
          <w:shd w:val="clear" w:color="auto" w:fill="FFFFFF"/>
          <w:lang w:val="en-US" w:eastAsia="zh-CN"/>
        </w:rPr>
        <w:t xml:space="preserve"> </w:t>
      </w:r>
      <w:bookmarkEnd w:id="33"/>
      <w:r>
        <w:rPr>
          <w:rFonts w:hint="eastAsia" w:ascii="宋体" w:hAnsi="宋体" w:eastAsia="宋体" w:cs="宋体"/>
          <w:i w:val="0"/>
          <w:caps w:val="0"/>
          <w:color w:val="333333"/>
          <w:spacing w:val="0"/>
          <w:sz w:val="24"/>
          <w:szCs w:val="24"/>
          <w:shd w:val="clear" w:color="auto" w:fill="FFFFFF"/>
          <w:lang w:val="en-US" w:eastAsia="zh-CN"/>
        </w:rPr>
        <w:t xml:space="preserve">Daniela Husarik,et al. Hepatobiliary transit times of gadoxetate disodium (Primovist®) for protocol optimization of comprehensive MR imaging of the biliary system—What is normal? </w:t>
      </w:r>
      <w:r>
        <w:rPr>
          <w:rFonts w:hint="eastAsia" w:ascii="宋体" w:hAnsi="宋体" w:eastAsia="宋体" w:cs="宋体"/>
          <w:i w:val="0"/>
          <w:caps w:val="0"/>
          <w:color w:val="333333"/>
          <w:spacing w:val="0"/>
          <w:sz w:val="24"/>
          <w:szCs w:val="24"/>
          <w:shd w:val="clear" w:color="auto" w:fill="FFFFFF"/>
        </w:rPr>
        <w:t>[J]</w:t>
      </w:r>
      <w:r>
        <w:rPr>
          <w:rFonts w:hint="eastAsia" w:ascii="宋体" w:hAnsi="宋体" w:eastAsia="宋体" w:cs="宋体"/>
          <w:i w:val="0"/>
          <w:caps w:val="0"/>
          <w:color w:val="333333"/>
          <w:spacing w:val="0"/>
          <w:sz w:val="24"/>
          <w:szCs w:val="24"/>
          <w:shd w:val="clear" w:color="auto" w:fill="FFFFFF"/>
          <w:lang w:val="en-US" w:eastAsia="zh-CN"/>
        </w:rPr>
        <w:t>.European Journal of Radiology,2011,79(2):201-205.</w:t>
      </w:r>
    </w:p>
    <w:p>
      <w:pPr>
        <w:numPr>
          <w:ilvl w:val="0"/>
          <w:numId w:val="4"/>
        </w:numPr>
        <w:ind w:left="315" w:hanging="360" w:hangingChars="150"/>
        <w:rPr>
          <w:rFonts w:hint="eastAsia" w:ascii="宋体" w:hAnsi="宋体" w:eastAsia="宋体" w:cs="宋体"/>
          <w:i w:val="0"/>
          <w:caps w:val="0"/>
          <w:color w:val="333333"/>
          <w:spacing w:val="0"/>
          <w:sz w:val="24"/>
          <w:szCs w:val="24"/>
          <w:shd w:val="clear" w:color="auto" w:fill="FFFFFF"/>
          <w:lang w:val="en-US" w:eastAsia="zh-CN"/>
        </w:rPr>
      </w:pPr>
      <w:r>
        <w:rPr>
          <w:rFonts w:hint="eastAsia" w:ascii="宋体" w:hAnsi="宋体" w:eastAsia="宋体" w:cs="宋体"/>
          <w:i w:val="0"/>
          <w:caps w:val="0"/>
          <w:color w:val="333333"/>
          <w:spacing w:val="0"/>
          <w:sz w:val="24"/>
          <w:szCs w:val="24"/>
          <w:shd w:val="clear" w:color="auto" w:fill="FFFFFF"/>
          <w:lang w:val="en-US" w:eastAsia="zh-CN"/>
        </w:rPr>
        <w:t>Seung Wha Lee,Sang Hoon Cha,et al. Functional magnetic resonance cholangiography with Gd-EOB-DTPA: A study in healthy volunteers[J]. Magnetic Resonance Imaging,2014,32(4):385-391.</w:t>
      </w:r>
    </w:p>
    <w:p>
      <w:pPr>
        <w:numPr>
          <w:ilvl w:val="0"/>
          <w:numId w:val="4"/>
        </w:numPr>
        <w:ind w:left="240" w:hanging="240"/>
        <w:rPr>
          <w:rFonts w:hint="eastAsia" w:ascii="宋体" w:hAnsi="宋体" w:eastAsia="宋体" w:cs="宋体"/>
          <w:sz w:val="24"/>
          <w:szCs w:val="24"/>
        </w:rPr>
      </w:pPr>
      <w:r>
        <w:rPr>
          <w:rFonts w:hint="eastAsia" w:ascii="宋体" w:hAnsi="宋体" w:eastAsia="宋体" w:cs="宋体"/>
          <w:sz w:val="24"/>
          <w:szCs w:val="24"/>
        </w:rPr>
        <w:t>张志伟，陈孝平.《原发性肝癌诊疗规范》( 2017 版) 解读</w:t>
      </w:r>
      <w:r>
        <w:rPr>
          <w:rFonts w:hint="eastAsia" w:ascii="宋体" w:hAnsi="宋体" w:eastAsia="宋体" w:cs="宋体"/>
          <w:i w:val="0"/>
          <w:caps w:val="0"/>
          <w:color w:val="333333"/>
          <w:spacing w:val="0"/>
          <w:sz w:val="24"/>
          <w:szCs w:val="24"/>
          <w:shd w:val="clear" w:color="auto" w:fill="FFFFFF"/>
          <w:lang w:val="en-US" w:eastAsia="zh-CN"/>
        </w:rPr>
        <w:t>[J]</w:t>
      </w:r>
      <w:r>
        <w:rPr>
          <w:rFonts w:hint="eastAsia" w:ascii="宋体" w:hAnsi="宋体" w:eastAsia="宋体" w:cs="宋体"/>
          <w:sz w:val="24"/>
          <w:szCs w:val="24"/>
        </w:rPr>
        <w:t>.临床外科杂志,2018,26(1):5-8.</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王艾博，罗佳文</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等.普美显对肝</w:t>
      </w:r>
      <w:r>
        <w:rPr>
          <w:rFonts w:hint="eastAsia" w:ascii="宋体" w:hAnsi="宋体" w:eastAsia="宋体" w:cs="宋体"/>
          <w:bCs/>
          <w:sz w:val="24"/>
          <w:szCs w:val="24"/>
        </w:rPr>
        <w:t>脏动脉期一过性强化灶与小肝癌检出的研究及钆喷葡胺的比较研究</w:t>
      </w:r>
      <w:r>
        <w:rPr>
          <w:rFonts w:hint="eastAsia" w:ascii="宋体" w:hAnsi="宋体" w:eastAsia="宋体" w:cs="宋体"/>
          <w:i w:val="0"/>
          <w:caps w:val="0"/>
          <w:color w:val="333333"/>
          <w:spacing w:val="0"/>
          <w:sz w:val="24"/>
          <w:szCs w:val="24"/>
          <w:shd w:val="clear" w:color="auto" w:fill="FFFFFF"/>
          <w:lang w:val="en-US" w:eastAsia="zh-CN"/>
        </w:rPr>
        <w:t>[J]</w:t>
      </w:r>
      <w:r>
        <w:rPr>
          <w:rFonts w:hint="eastAsia" w:ascii="宋体" w:hAnsi="宋体" w:eastAsia="宋体" w:cs="宋体"/>
          <w:bCs/>
          <w:sz w:val="24"/>
          <w:szCs w:val="24"/>
        </w:rPr>
        <w:t>.中国临床医学影像杂志:2016,27(12):881-887.</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Masato Narita, Etsuro Hatano,et al. Expression of OATP1B3 determines uptake of Gd-EOB-DTPA in hepatocellular carcinoma. Journal of Gastroenterology</w:t>
      </w:r>
      <w:r>
        <w:rPr>
          <w:rFonts w:hint="eastAsia" w:ascii="宋体" w:hAnsi="宋体" w:eastAsia="宋体" w:cs="宋体"/>
          <w:sz w:val="24"/>
          <w:szCs w:val="24"/>
          <w:lang w:val="en-US" w:eastAsia="zh-CN"/>
        </w:rPr>
        <w:t>[J].</w:t>
      </w:r>
      <w:r>
        <w:rPr>
          <w:rFonts w:hint="eastAsia" w:ascii="宋体" w:hAnsi="宋体" w:eastAsia="宋体" w:cs="宋体"/>
          <w:sz w:val="24"/>
          <w:szCs w:val="24"/>
        </w:rPr>
        <w:t>2009,44 (7):793-798.</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Tatsuo Inoue, Masatoshi Kudo,et al. Assessment of Gd-EOB-DTPA-enhanced MRI for HCC and dysplastic nodules and comparison of detection sensitivity versus MDCT</w:t>
      </w:r>
      <w:r>
        <w:rPr>
          <w:rFonts w:hint="eastAsia" w:ascii="宋体" w:hAnsi="宋体" w:eastAsia="宋体" w:cs="宋体"/>
          <w:sz w:val="24"/>
          <w:szCs w:val="24"/>
          <w:lang w:val="en-US" w:eastAsia="zh-CN"/>
        </w:rPr>
        <w:t>[J]</w:t>
      </w:r>
      <w:r>
        <w:rPr>
          <w:rFonts w:hint="eastAsia" w:ascii="宋体" w:hAnsi="宋体" w:eastAsia="宋体" w:cs="宋体"/>
          <w:sz w:val="24"/>
          <w:szCs w:val="24"/>
        </w:rPr>
        <w:t>.Journal of Gastroenterology, 2012, 47 (9):1036-1047.</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何琨. 普美显磁共振增强成像用于鉴别肝硬化结节与结节型肝癌价值探析</w:t>
      </w:r>
      <w:r>
        <w:rPr>
          <w:rFonts w:hint="eastAsia" w:ascii="宋体" w:hAnsi="宋体" w:eastAsia="宋体" w:cs="宋体"/>
          <w:i w:val="0"/>
          <w:caps w:val="0"/>
          <w:color w:val="333333"/>
          <w:spacing w:val="0"/>
          <w:sz w:val="24"/>
          <w:szCs w:val="24"/>
          <w:shd w:val="clear" w:color="auto" w:fill="FFFFFF"/>
          <w:lang w:val="en-US" w:eastAsia="zh-CN"/>
        </w:rPr>
        <w:t>[J]</w:t>
      </w:r>
      <w:r>
        <w:rPr>
          <w:rFonts w:hint="eastAsia" w:ascii="宋体" w:hAnsi="宋体" w:eastAsia="宋体" w:cs="宋体"/>
          <w:sz w:val="24"/>
          <w:szCs w:val="24"/>
        </w:rPr>
        <w:t>.影像研究与医学应用,2019，3（8）:52-53.</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Riccardo Inchingolo, Riccardo Faletti, et al.MR with Gd-EOB-DTPA in assessment of liver nodules in cirrhotic patients</w:t>
      </w:r>
      <w:r>
        <w:rPr>
          <w:rFonts w:hint="eastAsia" w:ascii="宋体" w:hAnsi="宋体" w:eastAsia="宋体" w:cs="宋体"/>
          <w:i w:val="0"/>
          <w:caps w:val="0"/>
          <w:color w:val="333333"/>
          <w:spacing w:val="0"/>
          <w:sz w:val="24"/>
          <w:szCs w:val="24"/>
          <w:shd w:val="clear" w:color="auto" w:fill="FFFFFF"/>
          <w:lang w:val="en-US" w:eastAsia="zh-CN"/>
        </w:rPr>
        <w:t>[J]</w:t>
      </w:r>
      <w:r>
        <w:rPr>
          <w:rFonts w:hint="eastAsia" w:ascii="宋体" w:hAnsi="宋体" w:eastAsia="宋体" w:cs="宋体"/>
          <w:sz w:val="24"/>
          <w:szCs w:val="24"/>
        </w:rPr>
        <w:t>.World Journal of Hepatology, 2018,10(7)：462-473.</w:t>
      </w:r>
    </w:p>
    <w:p>
      <w:pPr>
        <w:numPr>
          <w:ilvl w:val="0"/>
          <w:numId w:val="4"/>
        </w:numPr>
        <w:tabs>
          <w:tab w:val="left" w:pos="1176"/>
        </w:tabs>
        <w:ind w:left="315" w:hanging="360" w:hangingChars="150"/>
        <w:rPr>
          <w:rFonts w:hint="eastAsia" w:ascii="宋体" w:hAnsi="宋体" w:eastAsia="宋体" w:cs="宋体"/>
          <w:sz w:val="24"/>
          <w:szCs w:val="24"/>
        </w:rPr>
      </w:pPr>
      <w:r>
        <w:rPr>
          <w:rFonts w:hint="eastAsia" w:ascii="宋体" w:hAnsi="宋体" w:eastAsia="宋体" w:cs="宋体"/>
          <w:sz w:val="24"/>
          <w:szCs w:val="24"/>
          <w:lang w:eastAsia="zh-CN"/>
        </w:rPr>
        <w:tab/>
      </w:r>
      <w:r>
        <w:rPr>
          <w:rFonts w:hint="eastAsia" w:ascii="宋体" w:hAnsi="宋体" w:eastAsia="宋体" w:cs="宋体"/>
          <w:sz w:val="24"/>
          <w:szCs w:val="24"/>
          <w:lang w:eastAsia="zh-CN"/>
        </w:rPr>
        <w:t>钟国辉</w:t>
      </w:r>
      <w:r>
        <w:rPr>
          <w:rFonts w:hint="eastAsia" w:ascii="宋体" w:hAnsi="宋体" w:eastAsia="宋体" w:cs="宋体"/>
          <w:sz w:val="24"/>
          <w:szCs w:val="24"/>
          <w:lang w:val="en-US" w:eastAsia="zh-CN"/>
        </w:rPr>
        <w:t>,田猛 等,普美显增强磁共振与甲胎蛋白结合探讨肝癌相关性的研究现状[J].中国实验诊断学:2019,23(6):1098-1100.</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Shun-ichi Ariizumi, Koichi Kitagawa,et al. A non-smooth tumor margin in the hepatobiliary phase of gadoxetic acid disodium (Gd-EOB-DTPA)-enhanced magnetic resonance imaging predicts microscopic portal vein invasion,intrahepatic metastasis, and early recurrence after hepatectomy in patients with hepatocellular carcinoma</w:t>
      </w:r>
      <w:r>
        <w:rPr>
          <w:rFonts w:hint="eastAsia" w:ascii="宋体" w:hAnsi="宋体" w:eastAsia="宋体" w:cs="宋体"/>
          <w:sz w:val="24"/>
          <w:szCs w:val="24"/>
          <w:lang w:val="en-US" w:eastAsia="zh-CN"/>
        </w:rPr>
        <w:t>[J]</w:t>
      </w:r>
      <w:r>
        <w:rPr>
          <w:rFonts w:hint="eastAsia" w:ascii="宋体" w:hAnsi="宋体" w:eastAsia="宋体" w:cs="宋体"/>
          <w:sz w:val="24"/>
          <w:szCs w:val="24"/>
        </w:rPr>
        <w:t>. Journal of Hepato-Biliary-Pancreatic Sciences,2011,18 (4):575-585.</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Granata Vincenza,Catalano Orlando,</w:t>
      </w:r>
      <w:r>
        <w:rPr>
          <w:rFonts w:hint="eastAsia" w:ascii="宋体" w:hAnsi="宋体" w:eastAsia="宋体" w:cs="宋体"/>
          <w:sz w:val="24"/>
          <w:szCs w:val="24"/>
          <w:lang w:val="en-US" w:eastAsia="zh-CN"/>
        </w:rPr>
        <w:t>et al</w:t>
      </w:r>
      <w:r>
        <w:rPr>
          <w:rFonts w:hint="eastAsia" w:ascii="宋体" w:hAnsi="宋体" w:eastAsia="宋体" w:cs="宋体"/>
          <w:sz w:val="24"/>
          <w:szCs w:val="24"/>
        </w:rPr>
        <w:t>. The target sign in colorectal liver metastases: an atypical Gd-EOB-DTPA "uptake" on the hepatobiliary phase of MR imaging[J]. Abdominal imaging,2015,40(7)</w:t>
      </w:r>
      <w:r>
        <w:rPr>
          <w:rFonts w:hint="eastAsia" w:ascii="宋体" w:hAnsi="宋体" w:eastAsia="宋体" w:cs="宋体"/>
          <w:sz w:val="24"/>
          <w:szCs w:val="24"/>
          <w:lang w:val="en-US" w:eastAsia="zh-CN"/>
        </w:rPr>
        <w:t>:2364-2371.</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Olivio F. Donati,Michael A. Fischer,</w:t>
      </w:r>
      <w:r>
        <w:rPr>
          <w:rFonts w:hint="eastAsia" w:ascii="宋体" w:hAnsi="宋体" w:eastAsia="宋体" w:cs="宋体"/>
          <w:sz w:val="24"/>
          <w:szCs w:val="24"/>
          <w:lang w:val="en-US" w:eastAsia="zh-CN"/>
        </w:rPr>
        <w:t>et al</w:t>
      </w:r>
      <w:r>
        <w:rPr>
          <w:rFonts w:hint="eastAsia" w:ascii="宋体" w:hAnsi="宋体" w:eastAsia="宋体" w:cs="宋体"/>
          <w:sz w:val="24"/>
          <w:szCs w:val="24"/>
        </w:rPr>
        <w:t>. Accuracy and confidence of Gd-EOB-DTPA enhanced MRI and diffusion-weighted imaging alone and in combination for the diagnosis of liver metastases[J]. European Journal of Radiology,2013,82(5)</w:t>
      </w:r>
      <w:r>
        <w:rPr>
          <w:rFonts w:hint="eastAsia" w:ascii="宋体" w:hAnsi="宋体" w:eastAsia="宋体" w:cs="宋体"/>
          <w:sz w:val="24"/>
          <w:szCs w:val="24"/>
          <w:lang w:val="en-US" w:eastAsia="zh-CN"/>
        </w:rPr>
        <w:t>:822-828.</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Thomas D. Vreugdenburg,Ning Ma,</w:t>
      </w:r>
      <w:r>
        <w:rPr>
          <w:rFonts w:hint="eastAsia" w:ascii="宋体" w:hAnsi="宋体" w:eastAsia="宋体" w:cs="宋体"/>
          <w:sz w:val="24"/>
          <w:szCs w:val="24"/>
          <w:lang w:val="en-US" w:eastAsia="zh-CN"/>
        </w:rPr>
        <w:t>et al.Comparative diagnostic accuracy of hepatocyte-specific gadoxetic acid (Gd-EOB-DTPA) enhanced MR imaging and contrast enhanced CT for the detection of liver metastases: a systematic review and meta-analysis[J].International Journal of Colorectal Disease, 2016, 31 (11):1739-1749.</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李妍. 肝硬化再生节 (RN) 、肝不典型增生结节 (DN) 和小肝癌结节的磁共振表现并探讨磁共振 (MR) 诊断价值[J].中国医药指南,2017,15（06）:61-62.</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A. Gatto, A. M. De Gaetano,et al. Differentiating hepatocellular carcinoma from dysplastic nodules at gadobenate dimeglumine-enhanced hepatobiliary-phase magnetic resonance imaging[J].</w:t>
      </w:r>
      <w:r>
        <w:rPr>
          <w:rFonts w:hint="eastAsia" w:ascii="宋体" w:hAnsi="宋体" w:eastAsia="宋体" w:cs="宋体"/>
          <w:color w:val="222222"/>
          <w:sz w:val="24"/>
          <w:szCs w:val="24"/>
        </w:rPr>
        <w:t xml:space="preserve"> Abdominal Imaging,2013,38(4):736-744.</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i w:val="0"/>
          <w:caps w:val="0"/>
          <w:color w:val="333333"/>
          <w:spacing w:val="0"/>
          <w:sz w:val="24"/>
          <w:szCs w:val="24"/>
          <w:shd w:val="clear" w:color="auto" w:fill="FFFFFF"/>
        </w:rPr>
        <w:t>Salvolini L,Urbinati C,</w:t>
      </w:r>
      <w:r>
        <w:rPr>
          <w:rFonts w:hint="eastAsia" w:ascii="宋体" w:hAnsi="宋体" w:eastAsia="宋体" w:cs="宋体"/>
          <w:i w:val="0"/>
          <w:caps w:val="0"/>
          <w:color w:val="333333"/>
          <w:spacing w:val="0"/>
          <w:sz w:val="24"/>
          <w:szCs w:val="24"/>
          <w:shd w:val="clear" w:color="auto" w:fill="FFFFFF"/>
          <w:lang w:val="en-US" w:eastAsia="zh-CN"/>
        </w:rPr>
        <w:t>et al</w:t>
      </w:r>
      <w:r>
        <w:rPr>
          <w:rFonts w:hint="eastAsia" w:ascii="宋体" w:hAnsi="宋体" w:eastAsia="宋体" w:cs="宋体"/>
          <w:i w:val="0"/>
          <w:caps w:val="0"/>
          <w:color w:val="333333"/>
          <w:spacing w:val="0"/>
          <w:sz w:val="24"/>
          <w:szCs w:val="24"/>
          <w:shd w:val="clear" w:color="auto" w:fill="FFFFFF"/>
        </w:rPr>
        <w:t>. Contrast-enhanced MR cholangiography (MRCP) with GD-EOB-DTPA in evaluating biliary complications after surgery.[J]. La Radiologia Medica,2012</w:t>
      </w:r>
      <w:r>
        <w:rPr>
          <w:rFonts w:hint="eastAsia" w:ascii="宋体" w:hAnsi="宋体" w:eastAsia="宋体" w:cs="宋体"/>
          <w:i w:val="0"/>
          <w:caps w:val="0"/>
          <w:color w:val="333333"/>
          <w:spacing w:val="0"/>
          <w:sz w:val="24"/>
          <w:szCs w:val="24"/>
          <w:shd w:val="clear" w:color="auto" w:fill="FFFFFF"/>
          <w:lang w:val="en-US" w:eastAsia="zh-CN"/>
        </w:rPr>
        <w:t>:354-368.</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Gregory Ratcliffe, Iain Kirkpatrick,et al. Detection and Localization of Bile Duct Leaks After Cholecystectomy Using Gd-EOB-DTPA—Enhanced MR Cholangiography: Retrospective Study of 16 Patients[J]. Journal of Computer Assisted Tomography,2014,38(4):518-525.</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Andrzej Cieszanowski，Anna Stadnik，e</w:t>
      </w:r>
      <w:r>
        <w:rPr>
          <w:rFonts w:hint="eastAsia" w:ascii="宋体" w:hAnsi="宋体" w:eastAsia="宋体" w:cs="宋体"/>
          <w:sz w:val="24"/>
          <w:szCs w:val="24"/>
          <w:lang w:val="en-US" w:eastAsia="zh-CN"/>
        </w:rPr>
        <w:t>t</w:t>
      </w:r>
      <w:r>
        <w:rPr>
          <w:rFonts w:hint="eastAsia" w:ascii="宋体" w:hAnsi="宋体" w:eastAsia="宋体" w:cs="宋体"/>
          <w:sz w:val="24"/>
          <w:szCs w:val="24"/>
        </w:rPr>
        <w:t xml:space="preserve"> a</w:t>
      </w:r>
      <w:r>
        <w:rPr>
          <w:rFonts w:hint="eastAsia" w:ascii="宋体" w:hAnsi="宋体" w:eastAsia="宋体" w:cs="宋体"/>
          <w:sz w:val="24"/>
          <w:szCs w:val="24"/>
          <w:lang w:val="en-US" w:eastAsia="zh-CN"/>
        </w:rPr>
        <w:t>l.</w:t>
      </w:r>
      <w:r>
        <w:rPr>
          <w:rFonts w:hint="eastAsia" w:ascii="宋体" w:hAnsi="宋体" w:eastAsia="宋体" w:cs="宋体"/>
          <w:sz w:val="24"/>
          <w:szCs w:val="24"/>
        </w:rPr>
        <w:t xml:space="preserve"> Detection of active bile leak with Gd-EOB-DTPA enhanced MRcholangiography: Comparison of 20–25 min delayed and 60–180 mindelayed images[J]. European Journal of Radiology,2013,82(12): 2176-</w:t>
      </w:r>
      <w:r>
        <w:rPr>
          <w:rFonts w:hint="eastAsia" w:ascii="宋体" w:hAnsi="宋体" w:eastAsia="宋体" w:cs="宋体"/>
          <w:sz w:val="24"/>
          <w:szCs w:val="24"/>
          <w:lang w:val="en-US" w:eastAsia="zh-CN"/>
        </w:rPr>
        <w:t>21</w:t>
      </w:r>
      <w:r>
        <w:rPr>
          <w:rFonts w:hint="eastAsia" w:ascii="宋体" w:hAnsi="宋体" w:eastAsia="宋体" w:cs="宋体"/>
          <w:sz w:val="24"/>
          <w:szCs w:val="24"/>
        </w:rPr>
        <w:t>82.</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毛一雷, 童俊翔:肝脏手术术前肝功能储备评估进展[J].中华临床医师杂志:电子版,2009, 3(10):1-3.</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Shinichiro Yamada, Mitsuo Shimada et al.A new formula to calculate the resection limit in hepatectomy based on Gd-EOB-DTPA enhanced magnetic resonance imaging[J].PLoS ONE,2019,14(1):1-13.</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Shi-Ting Feng,Ling Wu et al.Functional Magnetic Resonance CholangiograEnhanced With Gd-EOB-DTPA: Effect of LiveFunction on Biliary System Visualization[J].Journal Of Magnetic Resonance Imading,2014,39(5):1254-1258.</w:t>
      </w:r>
    </w:p>
    <w:p>
      <w:pPr>
        <w:numPr>
          <w:ilvl w:val="0"/>
          <w:numId w:val="4"/>
        </w:numPr>
        <w:ind w:left="315" w:hanging="360" w:hangingChars="150"/>
        <w:rPr>
          <w:rFonts w:hint="eastAsia" w:ascii="宋体" w:hAnsi="宋体" w:eastAsia="宋体" w:cs="宋体"/>
          <w:sz w:val="24"/>
          <w:szCs w:val="24"/>
        </w:rPr>
      </w:pPr>
      <w:r>
        <w:rPr>
          <w:rFonts w:hint="eastAsia" w:ascii="宋体" w:hAnsi="宋体" w:eastAsia="宋体" w:cs="宋体"/>
          <w:sz w:val="24"/>
          <w:szCs w:val="24"/>
        </w:rPr>
        <w:t>A. Pecorelli, E.B. Orsini,et al. Assessing liver function: Diagnostic efficacy of parenchymal enhancement and liver volume ratio during hepatobiliary phase of gadolinium-ethoxybenzyl-diethylenetriaminepentaacetic acid (Gd-EOB-DTPA)    enhanced-magnetic resonance imaging (MRI) studies[J]. Journal of Hepatology,2018,68(1):651–652</w:t>
      </w:r>
      <w:r>
        <w:rPr>
          <w:rFonts w:hint="eastAsia" w:ascii="宋体" w:hAnsi="宋体" w:eastAsia="宋体" w:cs="宋体"/>
          <w:sz w:val="24"/>
          <w:szCs w:val="24"/>
          <w:lang w:val="en-US" w:eastAsia="zh-CN"/>
        </w:rPr>
        <w:t>.</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keepNext w:val="0"/>
        <w:keepLines w:val="0"/>
        <w:widowControl w:val="0"/>
        <w:suppressLineNumbers w:val="0"/>
        <w:spacing w:before="0" w:beforeAutospacing="0" w:after="0" w:afterAutospacing="0"/>
        <w:ind w:left="0" w:right="0" w:firstLine="482" w:firstLineChars="200"/>
        <w:jc w:val="center"/>
        <w:rPr>
          <w:rFonts w:hint="eastAsia" w:ascii="宋体" w:hAnsi="宋体" w:eastAsia="宋体" w:cs="宋体"/>
          <w:b/>
          <w:sz w:val="24"/>
          <w:szCs w:val="24"/>
          <w:lang w:val="en-US"/>
        </w:rPr>
      </w:pPr>
      <w:r>
        <w:rPr>
          <w:rFonts w:hint="eastAsia" w:ascii="宋体" w:hAnsi="宋体" w:eastAsia="宋体" w:cs="宋体"/>
          <w:b/>
          <w:kern w:val="2"/>
          <w:sz w:val="24"/>
          <w:szCs w:val="24"/>
          <w:lang w:val="en-US" w:eastAsia="zh-CN" w:bidi="ar"/>
        </w:rPr>
        <w:t>80 kV结合前后置全模型实时迭代重建技术（ASiR-V）在腹部CT增强检查中的运用</w:t>
      </w:r>
    </w:p>
    <w:p>
      <w:pPr>
        <w:keepNext w:val="0"/>
        <w:keepLines w:val="0"/>
        <w:widowControl/>
        <w:suppressLineNumbers w:val="0"/>
        <w:spacing w:before="0" w:beforeAutospacing="0" w:after="0" w:afterAutospacing="0" w:line="320" w:lineRule="exact"/>
        <w:ind w:left="0" w:right="0"/>
        <w:jc w:val="center"/>
        <w:rPr>
          <w:rFonts w:hint="eastAsia" w:ascii="宋体" w:hAnsi="宋体" w:eastAsia="宋体" w:cs="宋体"/>
          <w:color w:val="231F20"/>
          <w:kern w:val="0"/>
          <w:sz w:val="24"/>
          <w:szCs w:val="24"/>
          <w:lang w:val="en-US" w:bidi="ar"/>
        </w:rPr>
      </w:pPr>
      <w:r>
        <w:rPr>
          <w:rFonts w:hint="eastAsia" w:ascii="宋体" w:hAnsi="宋体" w:eastAsia="宋体" w:cs="宋体"/>
          <w:color w:val="231F20"/>
          <w:kern w:val="0"/>
          <w:sz w:val="24"/>
          <w:szCs w:val="24"/>
          <w:lang w:val="en-US" w:eastAsia="zh-CN" w:bidi="ar"/>
        </w:rPr>
        <w:t>孙明娟，刘四斌*，胡玖益</w:t>
      </w:r>
    </w:p>
    <w:p>
      <w:pPr>
        <w:keepNext w:val="0"/>
        <w:keepLines w:val="0"/>
        <w:widowControl/>
        <w:suppressLineNumbers w:val="0"/>
        <w:spacing w:before="0" w:beforeAutospacing="0" w:after="0" w:afterAutospacing="0" w:line="320" w:lineRule="exact"/>
        <w:ind w:left="0" w:right="0"/>
        <w:jc w:val="center"/>
        <w:rPr>
          <w:rFonts w:hint="eastAsia" w:ascii="宋体" w:hAnsi="宋体" w:eastAsia="宋体" w:cs="宋体"/>
          <w:b/>
          <w:bCs w:val="0"/>
          <w:color w:val="231F20"/>
          <w:kern w:val="0"/>
          <w:sz w:val="24"/>
          <w:szCs w:val="24"/>
          <w:lang w:val="en-US" w:eastAsia="zh-CN" w:bidi="ar"/>
        </w:rPr>
      </w:pPr>
      <w:r>
        <w:rPr>
          <w:rFonts w:hint="eastAsia" w:ascii="宋体" w:hAnsi="宋体" w:eastAsia="宋体" w:cs="宋体"/>
          <w:color w:val="231F20"/>
          <w:kern w:val="0"/>
          <w:sz w:val="24"/>
          <w:szCs w:val="24"/>
          <w:lang w:val="en-US" w:eastAsia="zh-CN" w:bidi="ar"/>
        </w:rPr>
        <w:t>长江大学第二临床医学院  荆州市中心医院434020</w:t>
      </w:r>
    </w:p>
    <w:p>
      <w:pPr>
        <w:keepNext w:val="0"/>
        <w:keepLines w:val="0"/>
        <w:widowControl/>
        <w:suppressLineNumbers w:val="0"/>
        <w:spacing w:before="0" w:beforeAutospacing="0" w:after="0" w:afterAutospacing="0" w:line="320" w:lineRule="exact"/>
        <w:ind w:left="0" w:right="0"/>
        <w:jc w:val="left"/>
        <w:rPr>
          <w:rFonts w:hint="eastAsia" w:ascii="宋体" w:hAnsi="宋体" w:eastAsia="宋体" w:cs="宋体"/>
          <w:color w:val="231F20"/>
          <w:kern w:val="0"/>
          <w:sz w:val="24"/>
          <w:szCs w:val="24"/>
          <w:lang w:val="en-US" w:bidi="ar"/>
        </w:rPr>
      </w:pPr>
      <w:r>
        <w:rPr>
          <w:rFonts w:hint="eastAsia" w:ascii="宋体" w:hAnsi="宋体" w:eastAsia="宋体" w:cs="宋体"/>
          <w:b/>
          <w:bCs w:val="0"/>
          <w:color w:val="231F20"/>
          <w:kern w:val="0"/>
          <w:sz w:val="24"/>
          <w:szCs w:val="24"/>
          <w:lang w:val="en-US" w:eastAsia="zh-CN" w:bidi="ar"/>
        </w:rPr>
        <w:t>摘要</w:t>
      </w:r>
      <w:r>
        <w:rPr>
          <w:rFonts w:hint="eastAsia" w:ascii="宋体" w:hAnsi="宋体" w:eastAsia="宋体" w:cs="宋体"/>
          <w:color w:val="231F20"/>
          <w:kern w:val="0"/>
          <w:sz w:val="24"/>
          <w:szCs w:val="24"/>
          <w:lang w:val="en-US" w:eastAsia="zh-CN" w:bidi="ar"/>
        </w:rPr>
        <w:t xml:space="preserve"> </w:t>
      </w:r>
      <w:r>
        <w:rPr>
          <w:rFonts w:hint="eastAsia" w:ascii="宋体" w:hAnsi="宋体" w:eastAsia="宋体" w:cs="宋体"/>
          <w:b/>
          <w:color w:val="231F20"/>
          <w:kern w:val="0"/>
          <w:sz w:val="24"/>
          <w:szCs w:val="24"/>
          <w:lang w:val="en-US" w:eastAsia="zh-CN" w:bidi="ar"/>
        </w:rPr>
        <w:t>目的</w:t>
      </w:r>
      <w:r>
        <w:rPr>
          <w:rFonts w:hint="eastAsia" w:ascii="宋体" w:hAnsi="宋体" w:eastAsia="宋体" w:cs="宋体"/>
          <w:color w:val="231F20"/>
          <w:kern w:val="0"/>
          <w:sz w:val="24"/>
          <w:szCs w:val="24"/>
          <w:lang w:val="en-US" w:eastAsia="zh-CN" w:bidi="ar"/>
        </w:rPr>
        <w:t xml:space="preserve"> 探讨80 kV管电压联合全模型实时迭代重建技术（ASiR-V）在腹部CT增强检查的最佳组合。</w:t>
      </w:r>
      <w:r>
        <w:rPr>
          <w:rFonts w:hint="eastAsia" w:ascii="宋体" w:hAnsi="宋体" w:eastAsia="宋体" w:cs="宋体"/>
          <w:b/>
          <w:color w:val="231F20"/>
          <w:kern w:val="0"/>
          <w:sz w:val="24"/>
          <w:szCs w:val="24"/>
          <w:lang w:val="en-US" w:eastAsia="zh-CN" w:bidi="ar"/>
        </w:rPr>
        <w:t>方法</w:t>
      </w:r>
      <w:r>
        <w:rPr>
          <w:rFonts w:hint="eastAsia" w:ascii="宋体" w:hAnsi="宋体" w:eastAsia="宋体" w:cs="宋体"/>
          <w:color w:val="231F20"/>
          <w:kern w:val="0"/>
          <w:sz w:val="24"/>
          <w:szCs w:val="24"/>
          <w:lang w:val="en-US" w:eastAsia="zh-CN" w:bidi="ar"/>
        </w:rPr>
        <w:t xml:space="preserve"> 收集体质量指数（Bady Mass Index，BMI）≤24 kg/m</w:t>
      </w:r>
      <w:r>
        <w:rPr>
          <w:rFonts w:hint="eastAsia" w:ascii="宋体" w:hAnsi="宋体" w:eastAsia="宋体" w:cs="宋体"/>
          <w:color w:val="231F20"/>
          <w:kern w:val="0"/>
          <w:sz w:val="24"/>
          <w:szCs w:val="24"/>
          <w:vertAlign w:val="superscript"/>
          <w:lang w:val="en-US" w:eastAsia="zh-CN" w:bidi="ar"/>
        </w:rPr>
        <w:t>2</w:t>
      </w:r>
      <w:r>
        <w:rPr>
          <w:rFonts w:hint="eastAsia" w:ascii="宋体" w:hAnsi="宋体" w:eastAsia="宋体" w:cs="宋体"/>
          <w:color w:val="231F20"/>
          <w:kern w:val="0"/>
          <w:sz w:val="24"/>
          <w:szCs w:val="24"/>
          <w:lang w:val="en-US" w:eastAsia="zh-CN" w:bidi="ar"/>
        </w:rPr>
        <w:t>的患者进行腹部CT增强检查，随机分为对照组和实验组，各40例。对照组120kV管电压，采用前置0%ASiR-V进行扫描，扫描后分别采用 FBP和20%、40%、60%后置ASiR-V两种方式进行图像重建；实验组80 kV管电压，动脉期、门脉期和延迟期分别采用前置20%ASiR-V联合后置20%、40%、60%、80%ASiR-V，前置40%ASiR-V联合后置40%、60%、80%ASiR-V，前置60%ASiR-V联合后置60%、80%ASiR-V进行图像重建。</w:t>
      </w:r>
      <w:r>
        <w:rPr>
          <w:rFonts w:hint="eastAsia" w:ascii="宋体" w:hAnsi="宋体" w:eastAsia="宋体" w:cs="宋体"/>
          <w:kern w:val="0"/>
          <w:sz w:val="24"/>
          <w:szCs w:val="24"/>
          <w:lang w:val="en-US" w:eastAsia="zh-CN" w:bidi="ar"/>
        </w:rPr>
        <w:t>对比两组图像CT值、SNR、CNR、图像噪声客观评分以及</w:t>
      </w:r>
      <w:r>
        <w:rPr>
          <w:rFonts w:hint="eastAsia" w:ascii="宋体" w:hAnsi="宋体" w:eastAsia="宋体" w:cs="宋体"/>
          <w:color w:val="231F20"/>
          <w:kern w:val="0"/>
          <w:sz w:val="24"/>
          <w:szCs w:val="24"/>
          <w:lang w:val="en-US" w:eastAsia="zh-CN" w:bidi="ar"/>
        </w:rPr>
        <w:t>主观图像质量评分，并记录辐射剂量指标。</w:t>
      </w:r>
      <w:r>
        <w:rPr>
          <w:rFonts w:hint="eastAsia" w:ascii="宋体" w:hAnsi="宋体" w:eastAsia="宋体" w:cs="宋体"/>
          <w:b/>
          <w:color w:val="231F20"/>
          <w:kern w:val="0"/>
          <w:sz w:val="24"/>
          <w:szCs w:val="24"/>
          <w:lang w:val="en-US" w:eastAsia="zh-CN" w:bidi="ar"/>
        </w:rPr>
        <w:t xml:space="preserve">结果 </w:t>
      </w:r>
      <w:r>
        <w:rPr>
          <w:rFonts w:hint="eastAsia" w:ascii="宋体" w:hAnsi="宋体" w:eastAsia="宋体" w:cs="宋体"/>
          <w:color w:val="231F20"/>
          <w:kern w:val="0"/>
          <w:sz w:val="24"/>
          <w:szCs w:val="24"/>
          <w:lang w:val="en-US" w:eastAsia="zh-CN" w:bidi="ar"/>
        </w:rPr>
        <w:t>两组图像 CT值、SNR、CNR及图像噪声差异有统计学意义，</w:t>
      </w:r>
      <w:r>
        <w:rPr>
          <w:rFonts w:hint="eastAsia" w:ascii="宋体" w:hAnsi="宋体" w:eastAsia="宋体" w:cs="宋体"/>
          <w:i/>
          <w:iCs w:val="0"/>
          <w:color w:val="231F20"/>
          <w:kern w:val="0"/>
          <w:sz w:val="24"/>
          <w:szCs w:val="24"/>
          <w:lang w:val="en-US" w:eastAsia="zh-CN" w:bidi="ar"/>
        </w:rPr>
        <w:t>P＜0.05</w:t>
      </w:r>
      <w:r>
        <w:rPr>
          <w:rFonts w:hint="eastAsia" w:ascii="宋体" w:hAnsi="宋体" w:eastAsia="宋体" w:cs="宋体"/>
          <w:color w:val="231F20"/>
          <w:kern w:val="0"/>
          <w:sz w:val="24"/>
          <w:szCs w:val="24"/>
          <w:lang w:val="en-US" w:eastAsia="zh-CN" w:bidi="ar"/>
        </w:rPr>
        <w:t>。</w:t>
      </w:r>
      <w:r>
        <w:rPr>
          <w:rFonts w:hint="eastAsia" w:ascii="宋体" w:hAnsi="宋体" w:eastAsia="宋体" w:cs="宋体"/>
          <w:kern w:val="0"/>
          <w:sz w:val="24"/>
          <w:szCs w:val="24"/>
          <w:lang w:val="en-US" w:eastAsia="zh-CN" w:bidi="ar"/>
        </w:rPr>
        <w:t>除后置80%ASiR-V重建图像质量差，其余图像主观评分均大于3分，满足诊断。</w:t>
      </w:r>
      <w:r>
        <w:rPr>
          <w:rFonts w:hint="eastAsia" w:ascii="宋体" w:hAnsi="宋体" w:eastAsia="宋体" w:cs="宋体"/>
          <w:color w:val="231F20"/>
          <w:kern w:val="0"/>
          <w:sz w:val="24"/>
          <w:szCs w:val="24"/>
          <w:lang w:val="en-US" w:eastAsia="zh-CN" w:bidi="ar"/>
        </w:rPr>
        <w:t>实验组动脉期、门脉期、延迟期相比对照组ED分别下降66.81%、67.24%、70.61%。</w:t>
      </w:r>
      <w:r>
        <w:rPr>
          <w:rFonts w:hint="eastAsia" w:ascii="宋体" w:hAnsi="宋体" w:eastAsia="宋体" w:cs="宋体"/>
          <w:b/>
          <w:color w:val="231F20"/>
          <w:kern w:val="0"/>
          <w:sz w:val="24"/>
          <w:szCs w:val="24"/>
          <w:lang w:val="en-US" w:eastAsia="zh-CN" w:bidi="ar"/>
        </w:rPr>
        <w:t>结论</w:t>
      </w:r>
      <w:r>
        <w:rPr>
          <w:rFonts w:hint="eastAsia" w:ascii="宋体" w:hAnsi="宋体" w:eastAsia="宋体" w:cs="宋体"/>
          <w:color w:val="231F20"/>
          <w:kern w:val="0"/>
          <w:sz w:val="24"/>
          <w:szCs w:val="24"/>
          <w:lang w:val="en-US" w:eastAsia="zh-CN" w:bidi="ar"/>
        </w:rPr>
        <w:t xml:space="preserve"> 对于体质量指数≤24 kg/m</w:t>
      </w:r>
      <w:r>
        <w:rPr>
          <w:rFonts w:hint="eastAsia" w:ascii="宋体" w:hAnsi="宋体" w:eastAsia="宋体" w:cs="宋体"/>
          <w:color w:val="231F20"/>
          <w:kern w:val="0"/>
          <w:sz w:val="24"/>
          <w:szCs w:val="24"/>
          <w:vertAlign w:val="superscript"/>
          <w:lang w:val="en-US" w:eastAsia="zh-CN" w:bidi="ar"/>
        </w:rPr>
        <w:t>2</w:t>
      </w:r>
      <w:r>
        <w:rPr>
          <w:rFonts w:hint="eastAsia" w:ascii="宋体" w:hAnsi="宋体" w:eastAsia="宋体" w:cs="宋体"/>
          <w:color w:val="231F20"/>
          <w:kern w:val="0"/>
          <w:sz w:val="24"/>
          <w:szCs w:val="24"/>
          <w:lang w:val="en-US" w:eastAsia="zh-CN" w:bidi="ar"/>
        </w:rPr>
        <w:t>的患者，采用80kV管电压结合前置40%叠加后置60%ASiR-V重建，能够在降低辐射剂量的条件下，获得满足影像诊断的图像，实现扫描个体化原则。</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CT诊断肝脏遗传性出血性毛细血管扩张症1例</w:t>
      </w:r>
    </w:p>
    <w:p>
      <w:pPr>
        <w:spacing w:line="360" w:lineRule="auto"/>
        <w:ind w:firstLine="3600" w:firstLineChars="15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王珍</w:t>
      </w:r>
    </w:p>
    <w:p>
      <w:pPr>
        <w:spacing w:line="360" w:lineRule="auto"/>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单位：鄂东医疗集团黄石市中心医院（湖北理工学院附属医院）放射影像科</w:t>
      </w:r>
    </w:p>
    <w:p>
      <w:pPr>
        <w:spacing w:line="360" w:lineRule="auto"/>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地址：湖北省黄石市黄石港区天津路141号黄石市中心医院3号楼2楼放射科</w:t>
      </w:r>
    </w:p>
    <w:p>
      <w:pPr>
        <w:spacing w:line="360" w:lineRule="auto"/>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邮编：435000</w:t>
      </w:r>
    </w:p>
    <w:p>
      <w:pPr>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email：</w:t>
      </w:r>
      <w:r>
        <w:rPr>
          <w:rFonts w:hint="eastAsia" w:ascii="宋体" w:hAnsi="宋体" w:eastAsia="宋体" w:cs="宋体"/>
          <w:color w:val="000000"/>
          <w:sz w:val="24"/>
          <w:szCs w:val="24"/>
          <w:lang w:val="en-US" w:eastAsia="zh-CN"/>
        </w:rPr>
        <w:fldChar w:fldCharType="begin"/>
      </w:r>
      <w:r>
        <w:rPr>
          <w:rFonts w:hint="eastAsia" w:ascii="宋体" w:hAnsi="宋体" w:eastAsia="宋体" w:cs="宋体"/>
          <w:color w:val="000000"/>
          <w:sz w:val="24"/>
          <w:szCs w:val="24"/>
          <w:lang w:val="en-US" w:eastAsia="zh-CN"/>
        </w:rPr>
        <w:instrText xml:space="preserve"> HYPERLINK "mailto:1049067661@qq.com" </w:instrText>
      </w:r>
      <w:r>
        <w:rPr>
          <w:rFonts w:hint="eastAsia" w:ascii="宋体" w:hAnsi="宋体" w:eastAsia="宋体" w:cs="宋体"/>
          <w:color w:val="000000"/>
          <w:sz w:val="24"/>
          <w:szCs w:val="24"/>
          <w:lang w:val="en-US" w:eastAsia="zh-CN"/>
        </w:rPr>
        <w:fldChar w:fldCharType="separate"/>
      </w:r>
      <w:r>
        <w:rPr>
          <w:rStyle w:val="16"/>
          <w:rFonts w:hint="eastAsia" w:ascii="宋体" w:hAnsi="宋体" w:eastAsia="宋体" w:cs="宋体"/>
          <w:color w:val="000000"/>
          <w:sz w:val="24"/>
          <w:szCs w:val="24"/>
          <w:lang w:val="en-US" w:eastAsia="zh-CN"/>
        </w:rPr>
        <w:t>1049067661@qq.com</w:t>
      </w:r>
      <w:r>
        <w:rPr>
          <w:rFonts w:hint="eastAsia" w:ascii="宋体" w:hAnsi="宋体" w:eastAsia="宋体" w:cs="宋体"/>
          <w:color w:val="000000"/>
          <w:sz w:val="24"/>
          <w:szCs w:val="24"/>
          <w:lang w:val="en-US" w:eastAsia="zh-CN"/>
        </w:rPr>
        <w:fldChar w:fldCharType="end"/>
      </w:r>
      <w:r>
        <w:rPr>
          <w:rFonts w:hint="eastAsia" w:ascii="宋体" w:hAnsi="宋体" w:eastAsia="宋体" w:cs="宋体"/>
          <w:color w:val="000000"/>
          <w:sz w:val="24"/>
          <w:szCs w:val="24"/>
          <w:lang w:val="en-US" w:eastAsia="zh-CN"/>
        </w:rPr>
        <w:t xml:space="preserve">     </w:t>
      </w:r>
      <w:r>
        <w:rPr>
          <w:rFonts w:hint="eastAsia" w:ascii="宋体" w:hAnsi="宋体" w:eastAsia="宋体" w:cs="宋体"/>
          <w:sz w:val="24"/>
          <w:szCs w:val="24"/>
          <w:lang w:val="en-US" w:eastAsia="zh-CN"/>
        </w:rPr>
        <w:t>电话号码：15072020422</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病例资料</w:t>
      </w:r>
    </w:p>
    <w:p>
      <w:pPr>
        <w:rPr>
          <w:rFonts w:hint="eastAsia" w:ascii="宋体" w:hAnsi="宋体" w:eastAsia="宋体" w:cs="宋体"/>
          <w:i w:val="0"/>
          <w:iCs w:val="0"/>
          <w:caps w:val="0"/>
          <w:color w:val="333333"/>
          <w:spacing w:val="0"/>
          <w:sz w:val="24"/>
          <w:szCs w:val="24"/>
          <w:shd w:val="clear" w:color="auto" w:fill="FFFFFF"/>
          <w:lang w:val="en-US" w:eastAsia="zh-CN"/>
        </w:rPr>
      </w:pPr>
      <w:r>
        <w:rPr>
          <w:rFonts w:hint="eastAsia" w:ascii="宋体" w:hAnsi="宋体" w:eastAsia="宋体" w:cs="宋体"/>
          <w:sz w:val="24"/>
          <w:szCs w:val="24"/>
          <w:lang w:val="en-US" w:eastAsia="zh-CN"/>
        </w:rPr>
        <w:t xml:space="preserve">   患者，男，52岁，因“腹痛半月余”入院。</w:t>
      </w:r>
      <w:r>
        <w:rPr>
          <w:rFonts w:hint="eastAsia" w:ascii="宋体" w:hAnsi="宋体" w:eastAsia="宋体" w:cs="宋体"/>
          <w:i w:val="0"/>
          <w:iCs w:val="0"/>
          <w:caps w:val="0"/>
          <w:color w:val="333333"/>
          <w:spacing w:val="0"/>
          <w:sz w:val="24"/>
          <w:szCs w:val="24"/>
          <w:shd w:val="clear" w:color="auto" w:fill="FFFFFF"/>
        </w:rPr>
        <w:t>既往</w:t>
      </w:r>
      <w:r>
        <w:rPr>
          <w:rFonts w:hint="eastAsia" w:ascii="宋体" w:hAnsi="宋体" w:eastAsia="宋体" w:cs="宋体"/>
          <w:i w:val="0"/>
          <w:iCs w:val="0"/>
          <w:caps w:val="0"/>
          <w:color w:val="333333"/>
          <w:spacing w:val="0"/>
          <w:sz w:val="24"/>
          <w:szCs w:val="24"/>
          <w:shd w:val="clear" w:color="auto" w:fill="FFFFFF"/>
          <w:lang w:eastAsia="zh-CN"/>
        </w:rPr>
        <w:t>史</w:t>
      </w:r>
      <w:r>
        <w:rPr>
          <w:rFonts w:hint="eastAsia" w:ascii="宋体" w:hAnsi="宋体" w:eastAsia="宋体" w:cs="宋体"/>
          <w:i w:val="0"/>
          <w:iCs w:val="0"/>
          <w:caps w:val="0"/>
          <w:color w:val="333333"/>
          <w:spacing w:val="0"/>
          <w:sz w:val="24"/>
          <w:szCs w:val="24"/>
          <w:shd w:val="clear" w:color="auto" w:fill="FFFFFF"/>
        </w:rPr>
        <w:t>：</w:t>
      </w:r>
      <w:r>
        <w:rPr>
          <w:rFonts w:hint="eastAsia" w:ascii="宋体" w:hAnsi="宋体" w:eastAsia="宋体" w:cs="宋体"/>
          <w:i w:val="0"/>
          <w:iCs w:val="0"/>
          <w:caps w:val="0"/>
          <w:color w:val="333333"/>
          <w:spacing w:val="0"/>
          <w:sz w:val="24"/>
          <w:szCs w:val="24"/>
          <w:shd w:val="clear" w:color="auto" w:fill="FFFFFF"/>
          <w:lang w:eastAsia="zh-CN"/>
        </w:rPr>
        <w:t>自幼反复自发性鼻出血，</w:t>
      </w:r>
      <w:r>
        <w:rPr>
          <w:rFonts w:hint="eastAsia" w:ascii="宋体" w:hAnsi="宋体" w:eastAsia="宋体" w:cs="宋体"/>
          <w:i w:val="0"/>
          <w:iCs w:val="0"/>
          <w:caps w:val="0"/>
          <w:color w:val="333333"/>
          <w:spacing w:val="0"/>
          <w:sz w:val="24"/>
          <w:szCs w:val="24"/>
          <w:shd w:val="clear" w:color="auto" w:fill="FFFFFF"/>
        </w:rPr>
        <w:t>曾</w:t>
      </w:r>
      <w:r>
        <w:rPr>
          <w:rFonts w:hint="eastAsia" w:ascii="宋体" w:hAnsi="宋体" w:eastAsia="宋体" w:cs="宋体"/>
          <w:i w:val="0"/>
          <w:iCs w:val="0"/>
          <w:caps w:val="0"/>
          <w:color w:val="333333"/>
          <w:spacing w:val="0"/>
          <w:sz w:val="24"/>
          <w:szCs w:val="24"/>
          <w:shd w:val="clear" w:color="auto" w:fill="FFFFFF"/>
          <w:lang w:eastAsia="zh-CN"/>
        </w:rPr>
        <w:t>行</w:t>
      </w:r>
      <w:r>
        <w:rPr>
          <w:rFonts w:hint="eastAsia" w:ascii="宋体" w:hAnsi="宋体" w:eastAsia="宋体" w:cs="宋体"/>
          <w:i w:val="0"/>
          <w:iCs w:val="0"/>
          <w:caps w:val="0"/>
          <w:color w:val="333333"/>
          <w:spacing w:val="0"/>
          <w:sz w:val="24"/>
          <w:szCs w:val="24"/>
          <w:shd w:val="clear" w:color="auto" w:fill="FFFFFF"/>
        </w:rPr>
        <w:t>鼻中隔偏曲手术治疗</w:t>
      </w:r>
      <w:r>
        <w:rPr>
          <w:rFonts w:hint="eastAsia" w:ascii="宋体" w:hAnsi="宋体" w:eastAsia="宋体" w:cs="宋体"/>
          <w:i w:val="0"/>
          <w:iCs w:val="0"/>
          <w:caps w:val="0"/>
          <w:color w:val="333333"/>
          <w:spacing w:val="0"/>
          <w:sz w:val="24"/>
          <w:szCs w:val="24"/>
          <w:shd w:val="clear" w:color="auto" w:fill="FFFFFF"/>
          <w:lang w:eastAsia="zh-CN"/>
        </w:rPr>
        <w:t>，无乙型肝炎史、无外伤史、无输血史。入院查体：</w:t>
      </w:r>
      <w:r>
        <w:rPr>
          <w:rFonts w:hint="eastAsia" w:ascii="宋体" w:hAnsi="宋体" w:eastAsia="宋体" w:cs="宋体"/>
          <w:i w:val="0"/>
          <w:iCs w:val="0"/>
          <w:caps w:val="0"/>
          <w:color w:val="333333"/>
          <w:spacing w:val="0"/>
          <w:sz w:val="24"/>
          <w:szCs w:val="24"/>
          <w:shd w:val="clear" w:color="auto" w:fill="FFFFFF"/>
        </w:rPr>
        <w:t>腹软，无压痛及反跳痛，无反跳痛，肝右肋下未触及</w:t>
      </w:r>
      <w:r>
        <w:rPr>
          <w:rFonts w:hint="eastAsia" w:ascii="宋体" w:hAnsi="宋体" w:eastAsia="宋体" w:cs="宋体"/>
          <w:i w:val="0"/>
          <w:iCs w:val="0"/>
          <w:caps w:val="0"/>
          <w:color w:val="333333"/>
          <w:spacing w:val="0"/>
          <w:sz w:val="24"/>
          <w:szCs w:val="24"/>
          <w:shd w:val="clear" w:color="auto" w:fill="FFFFFF"/>
          <w:lang w:eastAsia="zh-CN"/>
        </w:rPr>
        <w:t>。实验室检查：</w:t>
      </w:r>
      <w:r>
        <w:rPr>
          <w:rFonts w:hint="eastAsia" w:ascii="宋体" w:hAnsi="宋体" w:eastAsia="宋体" w:cs="宋体"/>
          <w:i w:val="0"/>
          <w:iCs w:val="0"/>
          <w:caps w:val="0"/>
          <w:color w:val="333333"/>
          <w:spacing w:val="0"/>
          <w:sz w:val="24"/>
          <w:szCs w:val="24"/>
          <w:shd w:val="clear" w:color="auto" w:fill="FFFFFF"/>
        </w:rPr>
        <w:t>血常规、甲功、凝血功能、D二聚体、肝功能、生化、尿常规等结果正常</w:t>
      </w:r>
      <w:r>
        <w:rPr>
          <w:rFonts w:hint="eastAsia" w:ascii="宋体" w:hAnsi="宋体" w:eastAsia="宋体" w:cs="宋体"/>
          <w:i w:val="0"/>
          <w:iCs w:val="0"/>
          <w:caps w:val="0"/>
          <w:color w:val="333333"/>
          <w:spacing w:val="0"/>
          <w:sz w:val="24"/>
          <w:szCs w:val="24"/>
          <w:shd w:val="clear" w:color="auto" w:fill="FFFFFF"/>
          <w:lang w:eastAsia="zh-CN"/>
        </w:rPr>
        <w:t>。腹部</w:t>
      </w:r>
      <w:r>
        <w:rPr>
          <w:rFonts w:hint="eastAsia" w:ascii="宋体" w:hAnsi="宋体" w:eastAsia="宋体" w:cs="宋体"/>
          <w:i w:val="0"/>
          <w:iCs w:val="0"/>
          <w:caps w:val="0"/>
          <w:color w:val="333333"/>
          <w:spacing w:val="0"/>
          <w:sz w:val="24"/>
          <w:szCs w:val="24"/>
          <w:shd w:val="clear" w:color="auto" w:fill="FFFFFF"/>
          <w:lang w:val="en-US" w:eastAsia="zh-CN"/>
        </w:rPr>
        <w:t>CT平扫示：肝脏体积、形态正常，肝脏边缘光整，肝内外胆管未见明显扩张，肝实质密度不均匀减低、CT值范围约43HU-50HU。CT增强扫描动脉期示肝实质密度强化不均匀、见多发不规则形片状低密度影，强化减低区多位于近肝包膜处、呈地图样改变（图1a）；腹腔干、肝固有动脉、肝总动脉、肝左右动脉及其分支、胰十二指肠动脉均明显增粗，肝动脉及其属支弥漫性迂曲扩张，肝固有动脉直径约12.4mm，肝总动脉直径约12mm，肝左右动脉直径分别约为7.6mm、11mm（图1b、1c）；门静脉左外叶下支、右后叶下支见强化影（图1d）。增强扫描静脉期示肝实质仍见片状低密度影、强化减低区范围较动脉期明显缩小（图1e），三支肝静脉、门静脉及其分支强化均匀。增强扫描延迟期示肝实质强化均匀（图1f）。</w:t>
      </w:r>
    </w:p>
    <w:p>
      <w:pPr>
        <w:rPr>
          <w:rFonts w:hint="eastAsia" w:ascii="宋体" w:hAnsi="宋体" w:eastAsia="宋体" w:cs="宋体"/>
          <w:i w:val="0"/>
          <w:iCs w:val="0"/>
          <w:caps w:val="0"/>
          <w:color w:val="333333"/>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shd w:val="clear" w:color="auto" w:fill="FFFFFF"/>
          <w:lang w:val="en-US" w:eastAsia="zh-CN"/>
        </w:rPr>
        <w:t>2讨论</w:t>
      </w:r>
    </w:p>
    <w:p>
      <w:pPr>
        <w:keepNext w:val="0"/>
        <w:keepLines w:val="0"/>
        <w:widowControl/>
        <w:suppressLineNumbers w:val="0"/>
        <w:jc w:val="left"/>
        <w:rPr>
          <w:rFonts w:hint="eastAsia" w:ascii="宋体" w:hAnsi="宋体" w:eastAsia="宋体" w:cs="宋体"/>
          <w:i w:val="0"/>
          <w:iCs w:val="0"/>
          <w:caps w:val="0"/>
          <w:color w:val="333333"/>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shd w:val="clear" w:color="auto" w:fill="FFFFFF"/>
          <w:lang w:val="en-US" w:eastAsia="zh-CN"/>
        </w:rPr>
        <w:t xml:space="preserve">     遗传性出血性毛细血管扩张症（heredittary hem orrhagic telangiectasia，HHT）又称为Rendu-Osler-Weber综合征，是一种以毛细血管扩张及动静脉畸形为病理基础，累及粘膜、皮肤及多发器官的常染色体显性遗传性疾病，发病率约为1/1万~1/5000,30%~70%患者可累及肝脏[1-5]。肝脏遗传性毛细血管扩张症容易被临床漏诊、延迟诊断或误诊，早期精准诊断有助于临床及时合理干预、减少严重并发症的发生和进展，CT增强检查对于肝脏HHT的早期诊断具有重要价值。CT多期增强检查主要表现为肝动脉增粗、迂曲扩张，合并弥漫性血管异常性改变，包括肝动静脉畸形、肝动脉-肝静脉瘘、肝动脉-门静脉瘘。</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lang w:val="en-US" w:eastAsia="zh-CN"/>
        </w:rPr>
        <w:t xml:space="preserve">    </w:t>
      </w:r>
      <w:r>
        <w:rPr>
          <w:rFonts w:hint="eastAsia" w:ascii="宋体" w:hAnsi="宋体" w:eastAsia="宋体" w:cs="宋体"/>
          <w:color w:val="000000"/>
          <w:kern w:val="0"/>
          <w:sz w:val="24"/>
          <w:szCs w:val="24"/>
          <w:lang w:val="en-US" w:eastAsia="zh-CN" w:bidi="ar"/>
        </w:rPr>
        <w:t xml:space="preserve">肝脏HHT影像上需与增强扫描动脉期同样表现为弥漫分布结节状明显强化或异常灌注病变进行鉴别，如肝脏感染性病变、转移瘤、布加综合症、不典型海绵状血管瘤等单纯性血管畸形，临床表现上需与各种类型的肝硬化、门静脉高压、门静脉海绵样变性等进行鉴别诊断，结合临床及多期动态增强影像特点可助鉴别。 </w:t>
      </w:r>
    </w:p>
    <w:p>
      <w:pPr>
        <w:keepNext w:val="0"/>
        <w:keepLines w:val="0"/>
        <w:widowControl/>
        <w:suppressLineNumbers w:val="0"/>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综上所述，肝脏</w:t>
      </w:r>
      <w:r>
        <w:rPr>
          <w:rFonts w:hint="eastAsia" w:ascii="宋体" w:hAnsi="宋体" w:eastAsia="宋体" w:cs="宋体"/>
          <w:i w:val="0"/>
          <w:iCs w:val="0"/>
          <w:caps w:val="0"/>
          <w:color w:val="333333"/>
          <w:spacing w:val="0"/>
          <w:sz w:val="24"/>
          <w:szCs w:val="24"/>
          <w:shd w:val="clear" w:color="auto" w:fill="FFFFFF"/>
          <w:lang w:val="en-US" w:eastAsia="zh-CN"/>
        </w:rPr>
        <w:t>遗传性出血性毛细血管扩张症</w:t>
      </w:r>
      <w:r>
        <w:rPr>
          <w:rFonts w:hint="eastAsia" w:ascii="宋体" w:hAnsi="宋体" w:eastAsia="宋体" w:cs="宋体"/>
          <w:color w:val="000000"/>
          <w:kern w:val="0"/>
          <w:sz w:val="24"/>
          <w:szCs w:val="24"/>
          <w:lang w:val="en-US" w:eastAsia="zh-CN" w:bidi="ar"/>
        </w:rPr>
        <w:t>临床少见，动态增强ＣＴ表现具特征性。</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bookmarkStart w:id="34" w:name="_GoBack"/>
      <w:bookmarkEnd w:id="34"/>
    </w:p>
    <w:p>
      <w:pPr>
        <w:spacing w:beforeLines="0" w:afterLines="0"/>
        <w:jc w:val="left"/>
        <w:rPr>
          <w:rFonts w:hint="eastAsia" w:ascii="宋体" w:hAnsi="宋体" w:eastAsia="宋体" w:cs="宋体"/>
          <w:b/>
          <w:bCs/>
          <w:i w:val="0"/>
          <w:color w:val="000000"/>
          <w:sz w:val="24"/>
          <w:szCs w:val="24"/>
          <w:u w:val="none"/>
          <w:lang w:val="en-US" w:eastAsia="zh-CN"/>
        </w:rPr>
      </w:pPr>
    </w:p>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普美显动态增强MRI预测肝细胞癌微血管侵犯的临床价值</w:t>
      </w:r>
    </w:p>
    <w:p>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王珍</w:t>
      </w:r>
    </w:p>
    <w:p>
      <w:pPr>
        <w:widowControl/>
        <w:shd w:val="clear" w:color="auto" w:fill="FFFFFF"/>
        <w:spacing w:before="100" w:beforeAutospacing="1" w:after="100" w:afterAutospacing="1"/>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单位：鄂东医疗集团黄石市中心医院（湖北理工学院附属医院）放射影像科</w:t>
      </w:r>
    </w:p>
    <w:p>
      <w:pPr>
        <w:widowControl/>
        <w:shd w:val="clear" w:color="auto" w:fill="FFFFFF"/>
        <w:spacing w:before="100" w:beforeAutospacing="1" w:after="100" w:afterAutospacing="1"/>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地址：湖北省黄石市黄石港区天津路141号黄石市中心医院3号楼2楼放射科</w:t>
      </w:r>
    </w:p>
    <w:p>
      <w:pPr>
        <w:widowControl/>
        <w:shd w:val="clear" w:color="auto" w:fill="FFFFFF"/>
        <w:spacing w:before="100" w:beforeAutospacing="1" w:after="100" w:afterAutospacing="1"/>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邮编：435000</w:t>
      </w:r>
    </w:p>
    <w:p>
      <w:pPr>
        <w:widowControl/>
        <w:shd w:val="clear" w:color="auto" w:fill="FFFFFF"/>
        <w:spacing w:before="100" w:beforeAutospacing="1" w:after="100" w:afterAutospacing="1"/>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email：</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"mailto:1049067661@qq.com" \t "_blank" </w:instrText>
      </w:r>
      <w:r>
        <w:rPr>
          <w:rFonts w:hint="eastAsia" w:ascii="宋体" w:hAnsi="宋体" w:eastAsia="宋体" w:cs="宋体"/>
          <w:sz w:val="24"/>
          <w:szCs w:val="24"/>
        </w:rPr>
        <w:fldChar w:fldCharType="separate"/>
      </w:r>
      <w:r>
        <w:rPr>
          <w:rFonts w:hint="eastAsia" w:ascii="宋体" w:hAnsi="宋体" w:eastAsia="宋体" w:cs="宋体"/>
          <w:color w:val="000000"/>
          <w:kern w:val="0"/>
          <w:sz w:val="24"/>
          <w:szCs w:val="24"/>
        </w:rPr>
        <w:t>1049067661@qq.com</w:t>
      </w:r>
      <w:r>
        <w:rPr>
          <w:rFonts w:hint="eastAsia" w:ascii="宋体" w:hAnsi="宋体" w:eastAsia="宋体" w:cs="宋体"/>
          <w:color w:val="000000"/>
          <w:kern w:val="0"/>
          <w:sz w:val="24"/>
          <w:szCs w:val="24"/>
        </w:rPr>
        <w:fldChar w:fldCharType="end"/>
      </w:r>
      <w:r>
        <w:rPr>
          <w:rFonts w:hint="eastAsia" w:ascii="宋体" w:hAnsi="宋体" w:eastAsia="宋体" w:cs="宋体"/>
          <w:color w:val="000000"/>
          <w:kern w:val="0"/>
          <w:sz w:val="24"/>
          <w:szCs w:val="24"/>
        </w:rPr>
        <w:t>    </w:t>
      </w:r>
    </w:p>
    <w:p>
      <w:pPr>
        <w:widowControl/>
        <w:shd w:val="clear" w:color="auto" w:fill="FFFFFF"/>
        <w:spacing w:before="100" w:beforeAutospacing="1" w:after="100" w:afterAutospacing="1"/>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电话号码：15072020422</w:t>
      </w:r>
    </w:p>
    <w:p>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【摘要】  目的  主要探讨通过普美显动态增强MRI检查术前预测肝细胞癌微血管侵犯的价值。 方法  回顾性分析本院2017年12月-2021年4月经过手术病理证实的120例肝细胞癌患者术前临床资料和普美显动态增强MRI影像表现，将患者按照病理结果分为有微血管侵犯（MVI）阳性和无微血管侵犯阴性，使用统计学方法分析与MVI相关的临床资料和影像学特征的相关因素，统计分析普美显增强MRI联合DWI预测肝细胞癌MVI阳性的敏感度、特异度、准确度、阳性预测值和阴性预测值，并采用受试者工作特征曲线（RCO）计算诊断阈值。  结果   </w:t>
      </w:r>
      <w:r>
        <w:rPr>
          <w:rFonts w:hint="eastAsia" w:ascii="宋体" w:hAnsi="宋体" w:eastAsia="宋体" w:cs="宋体"/>
          <w:color w:val="000000" w:themeColor="text1"/>
          <w:sz w:val="24"/>
          <w:szCs w:val="24"/>
          <w:shd w:val="clear" w:color="auto" w:fill="FFFFFF"/>
          <w14:textFill>
            <w14:solidFill>
              <w14:schemeClr w14:val="tx1"/>
            </w14:solidFill>
          </w14:textFill>
        </w:rPr>
        <w:t>120例病理证实肝细胞癌患者中MVI阳性41例,MVI阴性79例。单因素logistic回归分析结果显示肿瘤直径（</w:t>
      </w:r>
      <w:r>
        <w:rPr>
          <w:rFonts w:hint="eastAsia" w:ascii="宋体" w:hAnsi="宋体" w:eastAsia="宋体" w:cs="宋体"/>
          <w:i/>
          <w:color w:val="000000" w:themeColor="text1"/>
          <w:sz w:val="24"/>
          <w:szCs w:val="24"/>
          <w:shd w:val="clear" w:color="auto" w:fill="FFFFFF"/>
          <w14:textFill>
            <w14:solidFill>
              <w14:schemeClr w14:val="tx1"/>
            </w14:solidFill>
          </w14:textFill>
        </w:rPr>
        <w:t>p</w:t>
      </w:r>
      <w:r>
        <w:rPr>
          <w:rFonts w:hint="eastAsia" w:ascii="宋体" w:hAnsi="宋体" w:eastAsia="宋体" w:cs="宋体"/>
          <w:color w:val="000000" w:themeColor="text1"/>
          <w:sz w:val="24"/>
          <w:szCs w:val="24"/>
          <w:shd w:val="clear" w:color="auto" w:fill="FFFFFF"/>
          <w14:textFill>
            <w14:solidFill>
              <w14:schemeClr w14:val="tx1"/>
            </w14:solidFill>
          </w14:textFill>
        </w:rPr>
        <w:t>＜0.05)是预测MVI的危险因素, 多因素logistic回归分析结果显示术前普美显增强MRI影像学特征：动脉期瘤周强化、肝胆期非结节性肿瘤、肝胆期肿瘤混杂信号、肝胆期瘤周低信号（</w:t>
      </w:r>
      <w:r>
        <w:rPr>
          <w:rFonts w:hint="eastAsia" w:ascii="宋体" w:hAnsi="宋体" w:eastAsia="宋体" w:cs="宋体"/>
          <w:i/>
          <w:color w:val="000000" w:themeColor="text1"/>
          <w:sz w:val="24"/>
          <w:szCs w:val="24"/>
          <w:shd w:val="clear" w:color="auto" w:fill="FFFFFF"/>
          <w14:textFill>
            <w14:solidFill>
              <w14:schemeClr w14:val="tx1"/>
            </w14:solidFill>
          </w14:textFill>
        </w:rPr>
        <w:t>p</w:t>
      </w:r>
      <w:r>
        <w:rPr>
          <w:rFonts w:hint="eastAsia" w:ascii="宋体" w:hAnsi="宋体" w:eastAsia="宋体" w:cs="宋体"/>
          <w:color w:val="000000" w:themeColor="text1"/>
          <w:sz w:val="24"/>
          <w:szCs w:val="24"/>
          <w:shd w:val="clear" w:color="auto" w:fill="FFFFFF"/>
          <w14:textFill>
            <w14:solidFill>
              <w14:schemeClr w14:val="tx1"/>
            </w14:solidFill>
          </w14:textFill>
        </w:rPr>
        <w:t>&lt;0.05）是预测MVI的独立危险因素，预测MVI的敏感性分别为82.2%、89.8%、56.8%、59.9%;特异性分别为49.6%、52.1%、73.4%和88.9%。  结论:普美显动态增强MRI影像学特征可以在术前诊断肝细胞癌及预测肝细胞癌微血管侵犯情况。</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ind w:firstLine="2160" w:firstLineChars="9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成人胰腺血管瘤一例</w:t>
      </w:r>
    </w:p>
    <w:p>
      <w:pPr>
        <w:ind w:firstLine="3360" w:firstLineChars="14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Adult pancreatic hemangioma:A case report</w:t>
      </w:r>
    </w:p>
    <w:p>
      <w:pPr>
        <w:ind w:firstLine="2160" w:firstLineChars="9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曹晓丽（黄石中心医院放射科，湖北 黄石 435000）</w:t>
      </w:r>
    </w:p>
    <w:p>
      <w:pPr>
        <w:keepNext w:val="0"/>
        <w:keepLines w:val="0"/>
        <w:widowControl/>
        <w:suppressLineNumbers w:val="0"/>
        <w:jc w:val="left"/>
        <w:rPr>
          <w:rFonts w:hint="eastAsia" w:ascii="宋体" w:hAnsi="宋体" w:eastAsia="宋体" w:cs="宋体"/>
          <w:sz w:val="24"/>
          <w:szCs w:val="24"/>
          <w:lang w:val="en-US" w:eastAsia="zh-CN"/>
        </w:rPr>
      </w:pPr>
      <w:r>
        <w:rPr>
          <w:rFonts w:hint="eastAsia" w:ascii="宋体" w:hAnsi="宋体" w:eastAsia="宋体" w:cs="宋体"/>
          <w:i/>
          <w:color w:val="231F20"/>
          <w:sz w:val="24"/>
          <w:szCs w:val="24"/>
          <w:lang w:val="en-US" w:eastAsia="zh-CN"/>
        </w:rPr>
        <w:t>Cao xiao-li （Department of CT，</w:t>
      </w:r>
      <w:r>
        <w:rPr>
          <w:rFonts w:hint="eastAsia" w:ascii="宋体" w:hAnsi="宋体" w:eastAsia="宋体" w:cs="宋体"/>
          <w:i/>
          <w:color w:val="231F20"/>
          <w:sz w:val="24"/>
          <w:szCs w:val="24"/>
        </w:rPr>
        <w:t>Huangshi Central Hospital, Huangshi Hubei 435000, China</w:t>
      </w:r>
      <w:r>
        <w:rPr>
          <w:rFonts w:hint="eastAsia" w:ascii="宋体" w:hAnsi="宋体" w:eastAsia="宋体" w:cs="宋体"/>
          <w:sz w:val="24"/>
          <w:szCs w:val="24"/>
          <w:lang w:val="en-US" w:eastAsia="zh-CN"/>
        </w:rPr>
        <w:t>）</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关键词 胰腺 胰腺肿瘤 胰腺血管瘤 </w:t>
      </w:r>
    </w:p>
    <w:p>
      <w:pPr>
        <w:rPr>
          <w:rFonts w:hint="eastAsia" w:ascii="宋体" w:hAnsi="宋体" w:eastAsia="宋体" w:cs="宋体"/>
          <w:i w:val="0"/>
          <w:caps w:val="0"/>
          <w:color w:val="000000"/>
          <w:spacing w:val="0"/>
          <w:sz w:val="24"/>
          <w:szCs w:val="24"/>
          <w:shd w:val="clear" w:fill="FFFFFF"/>
          <w:lang w:val="en-US" w:eastAsia="zh-CN"/>
        </w:rPr>
      </w:pPr>
      <w:r>
        <w:rPr>
          <w:rFonts w:hint="eastAsia" w:ascii="宋体" w:hAnsi="宋体" w:eastAsia="宋体" w:cs="宋体"/>
          <w:sz w:val="24"/>
          <w:szCs w:val="24"/>
          <w:lang w:val="en-US" w:eastAsia="zh-CN"/>
        </w:rPr>
        <w:t>患者，女，65岁，</w:t>
      </w:r>
      <w:r>
        <w:rPr>
          <w:rFonts w:hint="eastAsia" w:ascii="宋体" w:hAnsi="宋体" w:eastAsia="宋体" w:cs="宋体"/>
          <w:i w:val="0"/>
          <w:caps w:val="0"/>
          <w:color w:val="000000"/>
          <w:spacing w:val="0"/>
          <w:sz w:val="24"/>
          <w:szCs w:val="24"/>
          <w:shd w:val="clear" w:fill="FFFFFF"/>
        </w:rPr>
        <w:t>因“体检发现胰腺肿物伴右下腹疼痛7天”入院</w:t>
      </w:r>
      <w:r>
        <w:rPr>
          <w:rFonts w:hint="eastAsia" w:ascii="宋体" w:hAnsi="宋体" w:eastAsia="宋体" w:cs="宋体"/>
          <w:i w:val="0"/>
          <w:caps w:val="0"/>
          <w:color w:val="000000"/>
          <w:spacing w:val="0"/>
          <w:sz w:val="24"/>
          <w:szCs w:val="24"/>
          <w:shd w:val="clear" w:fill="FFFFFF"/>
          <w:lang w:eastAsia="zh-CN"/>
        </w:rPr>
        <w:t>。查体：</w:t>
      </w:r>
      <w:r>
        <w:rPr>
          <w:rFonts w:hint="eastAsia" w:ascii="宋体" w:hAnsi="宋体" w:eastAsia="宋体" w:cs="宋体"/>
          <w:i w:val="0"/>
          <w:caps w:val="0"/>
          <w:color w:val="000000"/>
          <w:spacing w:val="0"/>
          <w:sz w:val="24"/>
          <w:szCs w:val="24"/>
          <w:shd w:val="clear" w:fill="FFFFFF"/>
        </w:rPr>
        <w:t>腹部平坦，肝脾肋下未及，墨菲氏征阴性，右下腹腹肌紧张，右下腹部压痛、反跳痛</w:t>
      </w:r>
      <w:r>
        <w:rPr>
          <w:rFonts w:hint="eastAsia" w:ascii="宋体" w:hAnsi="宋体" w:eastAsia="宋体" w:cs="宋体"/>
          <w:i w:val="0"/>
          <w:caps w:val="0"/>
          <w:color w:val="000000"/>
          <w:spacing w:val="0"/>
          <w:sz w:val="24"/>
          <w:szCs w:val="24"/>
          <w:shd w:val="clear" w:fill="FFFFFF"/>
          <w:lang w:eastAsia="zh-CN"/>
        </w:rPr>
        <w:t>。肿瘤标志物及血糖无异常。</w:t>
      </w:r>
      <w:r>
        <w:rPr>
          <w:rFonts w:hint="eastAsia" w:ascii="宋体" w:hAnsi="宋体" w:eastAsia="宋体" w:cs="宋体"/>
          <w:i w:val="0"/>
          <w:caps w:val="0"/>
          <w:color w:val="000000"/>
          <w:spacing w:val="0"/>
          <w:sz w:val="24"/>
          <w:szCs w:val="24"/>
          <w:shd w:val="clear" w:fill="FFFFFF"/>
          <w:lang w:val="en-US" w:eastAsia="zh-CN"/>
        </w:rPr>
        <w:t>CT平扫示：胰腺体尾部见低密度团块影，其内见分隔，大小约9.4cm×7.1cm×12.8cm，边界清晰，CT值约为20HU（图一）增强扫描动脉期不均匀中度强化，CT值约为63HU（图二），静脉期及延迟期分隔可见强化，CT值约为83HU，主胰管未见明显扩张。</w:t>
      </w:r>
    </w:p>
    <w:p>
      <w:pPr>
        <w:rPr>
          <w:rFonts w:hint="eastAsia" w:ascii="宋体" w:hAnsi="宋体" w:eastAsia="宋体" w:cs="宋体"/>
          <w:i w:val="0"/>
          <w:caps w:val="0"/>
          <w:color w:val="000000"/>
          <w:spacing w:val="0"/>
          <w:sz w:val="24"/>
          <w:szCs w:val="24"/>
          <w:shd w:val="clear" w:fill="FFFFFF"/>
          <w:lang w:eastAsia="zh-CN"/>
        </w:rPr>
      </w:pPr>
      <w:r>
        <w:rPr>
          <w:rFonts w:hint="eastAsia" w:ascii="宋体" w:hAnsi="宋体" w:eastAsia="宋体" w:cs="宋体"/>
          <w:i w:val="0"/>
          <w:caps w:val="0"/>
          <w:color w:val="000000"/>
          <w:spacing w:val="0"/>
          <w:sz w:val="24"/>
          <w:szCs w:val="24"/>
          <w:shd w:val="clear" w:fill="FFFFFF"/>
          <w:lang w:val="en-US" w:eastAsia="zh-CN"/>
        </w:rPr>
        <w:t>手术及病理：</w:t>
      </w:r>
      <w:r>
        <w:rPr>
          <w:rFonts w:hint="eastAsia" w:ascii="宋体" w:hAnsi="宋体" w:eastAsia="宋体" w:cs="宋体"/>
          <w:i w:val="0"/>
          <w:caps w:val="0"/>
          <w:color w:val="000000"/>
          <w:spacing w:val="0"/>
          <w:sz w:val="24"/>
          <w:szCs w:val="24"/>
          <w:shd w:val="clear" w:fill="FFFFFF"/>
        </w:rPr>
        <w:t>术中发现</w:t>
      </w:r>
      <w:r>
        <w:rPr>
          <w:rFonts w:hint="eastAsia" w:ascii="宋体" w:hAnsi="宋体" w:eastAsia="宋体" w:cs="宋体"/>
          <w:i w:val="0"/>
          <w:caps w:val="0"/>
          <w:color w:val="000000"/>
          <w:spacing w:val="0"/>
          <w:sz w:val="24"/>
          <w:szCs w:val="24"/>
          <w:shd w:val="clear" w:fill="FFFFFF"/>
          <w:lang w:eastAsia="zh-CN"/>
        </w:rPr>
        <w:t>肿瘤</w:t>
      </w:r>
      <w:r>
        <w:rPr>
          <w:rFonts w:hint="eastAsia" w:ascii="宋体" w:hAnsi="宋体" w:eastAsia="宋体" w:cs="宋体"/>
          <w:i w:val="0"/>
          <w:caps w:val="0"/>
          <w:color w:val="000000"/>
          <w:spacing w:val="0"/>
          <w:sz w:val="24"/>
          <w:szCs w:val="24"/>
          <w:shd w:val="clear" w:fill="FFFFFF"/>
        </w:rPr>
        <w:t>位于胰体尾部，大小约13</w:t>
      </w:r>
      <w:r>
        <w:rPr>
          <w:rFonts w:hint="eastAsia" w:ascii="宋体" w:hAnsi="宋体" w:eastAsia="宋体" w:cs="宋体"/>
          <w:i w:val="0"/>
          <w:caps w:val="0"/>
          <w:color w:val="000000"/>
          <w:spacing w:val="0"/>
          <w:sz w:val="24"/>
          <w:szCs w:val="24"/>
          <w:shd w:val="clear" w:fill="FFFFFF"/>
          <w:lang w:val="en-US" w:eastAsia="zh-CN"/>
        </w:rPr>
        <w:t>cm×</w:t>
      </w:r>
      <w:r>
        <w:rPr>
          <w:rFonts w:hint="eastAsia" w:ascii="宋体" w:hAnsi="宋体" w:eastAsia="宋体" w:cs="宋体"/>
          <w:i w:val="0"/>
          <w:caps w:val="0"/>
          <w:color w:val="000000"/>
          <w:spacing w:val="0"/>
          <w:sz w:val="24"/>
          <w:szCs w:val="24"/>
          <w:shd w:val="clear" w:fill="FFFFFF"/>
        </w:rPr>
        <w:t>10</w:t>
      </w:r>
      <w:r>
        <w:rPr>
          <w:rFonts w:hint="eastAsia" w:ascii="宋体" w:hAnsi="宋体" w:eastAsia="宋体" w:cs="宋体"/>
          <w:i w:val="0"/>
          <w:caps w:val="0"/>
          <w:color w:val="000000"/>
          <w:spacing w:val="0"/>
          <w:sz w:val="24"/>
          <w:szCs w:val="24"/>
          <w:shd w:val="clear" w:fill="FFFFFF"/>
          <w:lang w:val="en-US" w:eastAsia="zh-CN"/>
        </w:rPr>
        <w:t>cm×</w:t>
      </w:r>
      <w:r>
        <w:rPr>
          <w:rFonts w:hint="eastAsia" w:ascii="宋体" w:hAnsi="宋体" w:eastAsia="宋体" w:cs="宋体"/>
          <w:i w:val="0"/>
          <w:caps w:val="0"/>
          <w:color w:val="000000"/>
          <w:spacing w:val="0"/>
          <w:sz w:val="24"/>
          <w:szCs w:val="24"/>
          <w:shd w:val="clear" w:fill="FFFFFF"/>
        </w:rPr>
        <w:t>8cm,椭圆形，突出胰腺被膜,呈淡红色,可推动,与正常胰腺组织界限清楚,距胰颈后方门静脉</w:t>
      </w:r>
      <w:r>
        <w:rPr>
          <w:rFonts w:hint="eastAsia" w:ascii="宋体" w:hAnsi="宋体" w:eastAsia="宋体" w:cs="宋体"/>
          <w:i w:val="0"/>
          <w:caps w:val="0"/>
          <w:color w:val="000000"/>
          <w:spacing w:val="0"/>
          <w:sz w:val="24"/>
          <w:szCs w:val="24"/>
          <w:shd w:val="clear" w:fill="FFFFFF"/>
          <w:lang w:eastAsia="zh-CN"/>
        </w:rPr>
        <w:t>约</w:t>
      </w:r>
      <w:r>
        <w:rPr>
          <w:rFonts w:hint="eastAsia" w:ascii="宋体" w:hAnsi="宋体" w:eastAsia="宋体" w:cs="宋体"/>
          <w:i w:val="0"/>
          <w:caps w:val="0"/>
          <w:color w:val="000000"/>
          <w:spacing w:val="0"/>
          <w:sz w:val="24"/>
          <w:szCs w:val="24"/>
          <w:shd w:val="clear" w:fill="FFFFFF"/>
        </w:rPr>
        <w:t>5CM，网膜与脾脏广泛黏连</w:t>
      </w:r>
      <w:r>
        <w:rPr>
          <w:rFonts w:hint="eastAsia" w:ascii="宋体" w:hAnsi="宋体" w:eastAsia="宋体" w:cs="宋体"/>
          <w:i w:val="0"/>
          <w:caps w:val="0"/>
          <w:color w:val="000000"/>
          <w:spacing w:val="0"/>
          <w:sz w:val="24"/>
          <w:szCs w:val="24"/>
          <w:shd w:val="clear" w:fill="FFFFFF"/>
          <w:lang w:eastAsia="zh-CN"/>
        </w:rPr>
        <w:t>。病理诊断：胰腺血管瘤。</w:t>
      </w:r>
    </w:p>
    <w:p>
      <w:pPr>
        <w:rPr>
          <w:rFonts w:hint="eastAsia" w:ascii="宋体" w:hAnsi="宋体" w:eastAsia="宋体" w:cs="宋体"/>
          <w:i w:val="0"/>
          <w:caps w:val="0"/>
          <w:color w:val="000000"/>
          <w:spacing w:val="0"/>
          <w:sz w:val="24"/>
          <w:szCs w:val="24"/>
          <w:shd w:val="clear" w:fill="FFFFFF"/>
          <w:lang w:val="en-US" w:eastAsia="zh-CN"/>
        </w:rPr>
      </w:pPr>
      <w:r>
        <w:rPr>
          <w:rFonts w:hint="eastAsia" w:ascii="宋体" w:hAnsi="宋体" w:eastAsia="宋体" w:cs="宋体"/>
          <w:i w:val="0"/>
          <w:caps w:val="0"/>
          <w:color w:val="000000"/>
          <w:spacing w:val="0"/>
          <w:sz w:val="24"/>
          <w:szCs w:val="24"/>
          <w:shd w:val="clear" w:fill="FFFFFF"/>
          <w:lang w:eastAsia="zh-CN"/>
        </w:rPr>
        <w:t>讨论：腹腔血管瘤通常发生于肝脏及脾脏，发生于胰腺的血管瘤是一种极为罕见的良性肿瘤</w:t>
      </w:r>
      <w:r>
        <w:rPr>
          <w:rFonts w:hint="eastAsia" w:ascii="宋体" w:hAnsi="宋体" w:eastAsia="宋体" w:cs="宋体"/>
          <w:i w:val="0"/>
          <w:caps w:val="0"/>
          <w:color w:val="000000"/>
          <w:spacing w:val="0"/>
          <w:sz w:val="24"/>
          <w:szCs w:val="24"/>
          <w:shd w:val="clear" w:color="auto" w:fill="FFFFFF"/>
          <w:vertAlign w:val="superscript"/>
          <w:lang w:val="en-US" w:eastAsia="zh-CN"/>
        </w:rPr>
        <w:t>[1]</w:t>
      </w:r>
      <w:r>
        <w:rPr>
          <w:rFonts w:hint="eastAsia" w:ascii="宋体" w:hAnsi="宋体" w:eastAsia="宋体" w:cs="宋体"/>
          <w:i w:val="0"/>
          <w:caps w:val="0"/>
          <w:color w:val="000000"/>
          <w:spacing w:val="0"/>
          <w:sz w:val="24"/>
          <w:szCs w:val="24"/>
          <w:shd w:val="clear" w:fill="FFFFFF"/>
          <w:lang w:eastAsia="zh-CN"/>
        </w:rPr>
        <w:t>，典型血管瘤</w:t>
      </w:r>
      <w:r>
        <w:rPr>
          <w:rFonts w:hint="eastAsia" w:ascii="宋体" w:hAnsi="宋体" w:eastAsia="宋体" w:cs="宋体"/>
          <w:i w:val="0"/>
          <w:caps w:val="0"/>
          <w:color w:val="000000"/>
          <w:spacing w:val="0"/>
          <w:sz w:val="24"/>
          <w:szCs w:val="24"/>
          <w:shd w:val="clear" w:fill="FFFFFF"/>
          <w:lang w:val="en-US" w:eastAsia="zh-CN"/>
        </w:rPr>
        <w:t>CT增强动脉期边缘明显强化，门脉期及延迟期强化向中心填充，而胰腺血管瘤极少呈现典型血管瘤强化方式，在胰腺血管瘤由于血液流经肿瘤新生血管较缓慢以及肿瘤中囊性与实性成分的比例，影响肿瘤强化程度</w:t>
      </w:r>
      <w:r>
        <w:rPr>
          <w:rFonts w:hint="eastAsia" w:ascii="宋体" w:hAnsi="宋体" w:eastAsia="宋体" w:cs="宋体"/>
          <w:i w:val="0"/>
          <w:caps w:val="0"/>
          <w:color w:val="000000"/>
          <w:spacing w:val="0"/>
          <w:sz w:val="24"/>
          <w:szCs w:val="24"/>
          <w:shd w:val="clear" w:color="auto" w:fill="FFFFFF"/>
          <w:vertAlign w:val="superscript"/>
          <w:lang w:val="en-US" w:eastAsia="zh-CN"/>
        </w:rPr>
        <w:t>[2],</w:t>
      </w:r>
      <w:r>
        <w:rPr>
          <w:rFonts w:hint="eastAsia" w:ascii="宋体" w:hAnsi="宋体" w:eastAsia="宋体" w:cs="宋体"/>
          <w:i w:val="0"/>
          <w:caps w:val="0"/>
          <w:color w:val="000000"/>
          <w:spacing w:val="0"/>
          <w:sz w:val="24"/>
          <w:szCs w:val="24"/>
          <w:shd w:val="clear" w:fill="FFFFFF"/>
          <w:lang w:val="en-US" w:eastAsia="zh-CN"/>
        </w:rPr>
        <w:t>，根据国内外文献报道，胰腺血管瘤CT增强一般表现为动脉期轻-中度强化，其内分隔及包膜延迟强化。</w:t>
      </w:r>
      <w:r>
        <w:rPr>
          <w:rFonts w:hint="eastAsia" w:ascii="宋体" w:hAnsi="宋体" w:eastAsia="宋体" w:cs="宋体"/>
          <w:i w:val="0"/>
          <w:caps w:val="0"/>
          <w:color w:val="000000"/>
          <w:spacing w:val="0"/>
          <w:sz w:val="24"/>
          <w:szCs w:val="24"/>
          <w:shd w:val="clear" w:fill="FFFFFF"/>
          <w:lang w:eastAsia="zh-CN"/>
        </w:rPr>
        <w:t>成人胰腺血管瘤患者通常为女性，平均年龄为55岁，血管瘤通常较大，范围从3到20毫米</w:t>
      </w:r>
      <w:r>
        <w:rPr>
          <w:rFonts w:hint="eastAsia" w:ascii="宋体" w:hAnsi="宋体" w:eastAsia="宋体" w:cs="宋体"/>
          <w:i w:val="0"/>
          <w:caps w:val="0"/>
          <w:color w:val="000000"/>
          <w:spacing w:val="0"/>
          <w:sz w:val="24"/>
          <w:szCs w:val="24"/>
          <w:shd w:val="clear" w:color="auto" w:fill="FFFFFF"/>
          <w:vertAlign w:val="superscript"/>
          <w:lang w:val="en-US" w:eastAsia="zh-CN"/>
        </w:rPr>
        <w:t>[3]</w:t>
      </w:r>
      <w:r>
        <w:rPr>
          <w:rFonts w:hint="eastAsia" w:ascii="宋体" w:hAnsi="宋体" w:eastAsia="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lang w:val="en-US" w:eastAsia="zh-CN"/>
        </w:rPr>
        <w:t>本病例患者性别、年龄、肿瘤生长方式及强化方式与文献报道基本一致。该病只有极少数可以表现出特征性血管瘤强化方式，绝大多数病例影像学诊断困难。因此，很容易与其他胰腺病变（如浆液性囊腺瘤，粘液性囊腺瘤和导管内乳头状粘液性肿瘤，IPMN）混淆，此外，该病还应与其他血供丰富的胰腺疾病鉴别，例如神经内分泌肿瘤，转移性肾细胞癌，胰内副脾和动静脉畸形等。目前，诊断胰腺血管瘤的金标准仍是病理诊断，手术切除是最佳的治疗方法。</w:t>
      </w:r>
    </w:p>
    <w:p>
      <w:pPr>
        <w:ind w:firstLine="480" w:firstLineChars="200"/>
        <w:rPr>
          <w:rFonts w:hint="eastAsia" w:ascii="宋体" w:hAnsi="宋体" w:eastAsia="宋体" w:cs="宋体"/>
          <w:i w:val="0"/>
          <w:caps w:val="0"/>
          <w:color w:val="000000"/>
          <w:spacing w:val="0"/>
          <w:sz w:val="24"/>
          <w:szCs w:val="24"/>
          <w:shd w:val="clear" w:fill="FFFFFF"/>
          <w:lang w:eastAsia="zh-CN"/>
        </w:rPr>
      </w:pPr>
      <w:r>
        <w:rPr>
          <w:rFonts w:hint="eastAsia" w:ascii="宋体" w:hAnsi="宋体" w:eastAsia="宋体" w:cs="宋体"/>
          <w:i w:val="0"/>
          <w:caps w:val="0"/>
          <w:color w:val="000000"/>
          <w:spacing w:val="0"/>
          <w:sz w:val="24"/>
          <w:szCs w:val="24"/>
          <w:shd w:val="clear" w:fill="FFFFFF"/>
          <w:lang w:val="en-US" w:eastAsia="zh-CN"/>
        </w:rPr>
        <w:t>总之，胰腺血管瘤是一种罕见的肿瘤，其成分复杂，不仅反映在影像学表现中，也反映在免疫组织化学检测中，并且通过手术切除可以取得良好治疗效果。</w:t>
      </w:r>
    </w:p>
    <w:p>
      <w:pPr>
        <w:rPr>
          <w:rFonts w:hint="eastAsia" w:ascii="宋体" w:hAnsi="宋体" w:eastAsia="宋体" w:cs="宋体"/>
          <w:i w:val="0"/>
          <w:caps w:val="0"/>
          <w:color w:val="000000"/>
          <w:spacing w:val="0"/>
          <w:sz w:val="24"/>
          <w:szCs w:val="24"/>
          <w:shd w:val="clear" w:fill="FFFFFF"/>
          <w:lang w:eastAsia="zh-CN"/>
        </w:rPr>
      </w:pPr>
    </w:p>
    <w:p>
      <w:pPr>
        <w:numPr>
          <w:ilvl w:val="0"/>
          <w:numId w:val="5"/>
        </w:numPr>
        <w:rPr>
          <w:rFonts w:hint="eastAsia" w:ascii="宋体" w:hAnsi="宋体" w:eastAsia="宋体" w:cs="宋体"/>
          <w:i w:val="0"/>
          <w:caps w:val="0"/>
          <w:color w:val="auto"/>
          <w:spacing w:val="0"/>
          <w:sz w:val="24"/>
          <w:szCs w:val="24"/>
          <w:u w:val="none"/>
          <w:shd w:val="clear" w:fill="FFFFFF"/>
        </w:rPr>
      </w:pPr>
      <w:r>
        <w:rPr>
          <w:rFonts w:hint="eastAsia" w:ascii="宋体" w:hAnsi="宋体" w:eastAsia="宋体" w:cs="宋体"/>
          <w:i w:val="0"/>
          <w:caps w:val="0"/>
          <w:color w:val="auto"/>
          <w:spacing w:val="0"/>
          <w:sz w:val="24"/>
          <w:szCs w:val="24"/>
          <w:u w:val="none"/>
          <w:shd w:val="clear" w:fill="FFFFFF"/>
        </w:rPr>
        <w:t> Le Borgne J, de Calan L, Partensky C. Cystadenomas and cystadenocarcinomas of the pancreas: a multiinstitutional retrospective study of 398 cases. French Surgical Association. Ann Surg. 1999;230:152–161. [</w:t>
      </w:r>
      <w:r>
        <w:rPr>
          <w:rFonts w:hint="eastAsia" w:ascii="宋体" w:hAnsi="宋体" w:eastAsia="宋体" w:cs="宋体"/>
          <w:i w:val="0"/>
          <w:caps w:val="0"/>
          <w:color w:val="auto"/>
          <w:spacing w:val="0"/>
          <w:sz w:val="24"/>
          <w:szCs w:val="24"/>
          <w:u w:val="none"/>
          <w:shd w:val="clear" w:fill="FFFFFF"/>
        </w:rPr>
        <w:fldChar w:fldCharType="begin"/>
      </w:r>
      <w:r>
        <w:rPr>
          <w:rFonts w:hint="eastAsia" w:ascii="宋体" w:hAnsi="宋体" w:eastAsia="宋体" w:cs="宋体"/>
          <w:i w:val="0"/>
          <w:caps w:val="0"/>
          <w:color w:val="auto"/>
          <w:spacing w:val="0"/>
          <w:sz w:val="24"/>
          <w:szCs w:val="24"/>
          <w:u w:val="none"/>
          <w:shd w:val="clear" w:fill="FFFFFF"/>
        </w:rPr>
        <w:instrText xml:space="preserve"> HYPERLINK "https://www.ncbi.nlm.nih.gov/pmc/articles/PMC1420857/" </w:instrText>
      </w:r>
      <w:r>
        <w:rPr>
          <w:rFonts w:hint="eastAsia" w:ascii="宋体" w:hAnsi="宋体" w:eastAsia="宋体" w:cs="宋体"/>
          <w:i w:val="0"/>
          <w:caps w:val="0"/>
          <w:color w:val="auto"/>
          <w:spacing w:val="0"/>
          <w:sz w:val="24"/>
          <w:szCs w:val="24"/>
          <w:u w:val="none"/>
          <w:shd w:val="clear" w:fill="FFFFFF"/>
        </w:rPr>
        <w:fldChar w:fldCharType="separate"/>
      </w:r>
      <w:r>
        <w:rPr>
          <w:rStyle w:val="16"/>
          <w:rFonts w:hint="eastAsia" w:ascii="宋体" w:hAnsi="宋体" w:eastAsia="宋体" w:cs="宋体"/>
          <w:i w:val="0"/>
          <w:caps w:val="0"/>
          <w:color w:val="auto"/>
          <w:spacing w:val="0"/>
          <w:sz w:val="24"/>
          <w:szCs w:val="24"/>
          <w:u w:val="none"/>
          <w:shd w:val="clear" w:fill="FFFFFF"/>
        </w:rPr>
        <w:t>PMC free article</w:t>
      </w:r>
      <w:r>
        <w:rPr>
          <w:rFonts w:hint="eastAsia" w:ascii="宋体" w:hAnsi="宋体" w:eastAsia="宋体" w:cs="宋体"/>
          <w:i w:val="0"/>
          <w:caps w:val="0"/>
          <w:color w:val="auto"/>
          <w:spacing w:val="0"/>
          <w:sz w:val="24"/>
          <w:szCs w:val="24"/>
          <w:u w:val="none"/>
          <w:shd w:val="clear" w:fill="FFFFFF"/>
        </w:rPr>
        <w:fldChar w:fldCharType="end"/>
      </w:r>
      <w:r>
        <w:rPr>
          <w:rFonts w:hint="eastAsia" w:ascii="宋体" w:hAnsi="宋体" w:eastAsia="宋体" w:cs="宋体"/>
          <w:i w:val="0"/>
          <w:caps w:val="0"/>
          <w:color w:val="auto"/>
          <w:spacing w:val="0"/>
          <w:sz w:val="24"/>
          <w:szCs w:val="24"/>
          <w:u w:val="none"/>
          <w:shd w:val="clear" w:fill="FFFFFF"/>
        </w:rPr>
        <w:t>] [</w:t>
      </w:r>
      <w:r>
        <w:rPr>
          <w:rFonts w:hint="eastAsia" w:ascii="宋体" w:hAnsi="宋体" w:eastAsia="宋体" w:cs="宋体"/>
          <w:i w:val="0"/>
          <w:caps w:val="0"/>
          <w:color w:val="auto"/>
          <w:spacing w:val="0"/>
          <w:sz w:val="24"/>
          <w:szCs w:val="24"/>
          <w:u w:val="none"/>
          <w:shd w:val="clear" w:fill="FFFFFF"/>
        </w:rPr>
        <w:fldChar w:fldCharType="begin"/>
      </w:r>
      <w:r>
        <w:rPr>
          <w:rFonts w:hint="eastAsia" w:ascii="宋体" w:hAnsi="宋体" w:eastAsia="宋体" w:cs="宋体"/>
          <w:i w:val="0"/>
          <w:caps w:val="0"/>
          <w:color w:val="auto"/>
          <w:spacing w:val="0"/>
          <w:sz w:val="24"/>
          <w:szCs w:val="24"/>
          <w:u w:val="none"/>
          <w:shd w:val="clear" w:fill="FFFFFF"/>
        </w:rPr>
        <w:instrText xml:space="preserve"> HYPERLINK "https://www.ncbi.nlm.nih.gov/pubmed/10450728" \t "https://www.ncbi.nlm.nih.gov/pmc/articles/PMC4081133/pmc_ext" </w:instrText>
      </w:r>
      <w:r>
        <w:rPr>
          <w:rFonts w:hint="eastAsia" w:ascii="宋体" w:hAnsi="宋体" w:eastAsia="宋体" w:cs="宋体"/>
          <w:i w:val="0"/>
          <w:caps w:val="0"/>
          <w:color w:val="auto"/>
          <w:spacing w:val="0"/>
          <w:sz w:val="24"/>
          <w:szCs w:val="24"/>
          <w:u w:val="none"/>
          <w:shd w:val="clear" w:fill="FFFFFF"/>
        </w:rPr>
        <w:fldChar w:fldCharType="separate"/>
      </w:r>
      <w:r>
        <w:rPr>
          <w:rStyle w:val="16"/>
          <w:rFonts w:hint="eastAsia" w:ascii="宋体" w:hAnsi="宋体" w:eastAsia="宋体" w:cs="宋体"/>
          <w:i w:val="0"/>
          <w:caps w:val="0"/>
          <w:color w:val="auto"/>
          <w:spacing w:val="0"/>
          <w:sz w:val="24"/>
          <w:szCs w:val="24"/>
          <w:u w:val="none"/>
          <w:shd w:val="clear" w:fill="FFFFFF"/>
        </w:rPr>
        <w:t>PubMed</w:t>
      </w:r>
      <w:r>
        <w:rPr>
          <w:rFonts w:hint="eastAsia" w:ascii="宋体" w:hAnsi="宋体" w:eastAsia="宋体" w:cs="宋体"/>
          <w:i w:val="0"/>
          <w:caps w:val="0"/>
          <w:color w:val="auto"/>
          <w:spacing w:val="0"/>
          <w:sz w:val="24"/>
          <w:szCs w:val="24"/>
          <w:u w:val="none"/>
          <w:shd w:val="clear" w:fill="FFFFFF"/>
        </w:rPr>
        <w:fldChar w:fldCharType="end"/>
      </w:r>
      <w:r>
        <w:rPr>
          <w:rFonts w:hint="eastAsia" w:ascii="宋体" w:hAnsi="宋体" w:eastAsia="宋体" w:cs="宋体"/>
          <w:i w:val="0"/>
          <w:caps w:val="0"/>
          <w:color w:val="auto"/>
          <w:spacing w:val="0"/>
          <w:sz w:val="24"/>
          <w:szCs w:val="24"/>
          <w:u w:val="none"/>
          <w:shd w:val="clear" w:fill="FFFFFF"/>
        </w:rPr>
        <w:t>] [</w:t>
      </w:r>
      <w:r>
        <w:rPr>
          <w:rFonts w:hint="eastAsia" w:ascii="宋体" w:hAnsi="宋体" w:eastAsia="宋体" w:cs="宋体"/>
          <w:i w:val="0"/>
          <w:caps w:val="0"/>
          <w:color w:val="auto"/>
          <w:spacing w:val="0"/>
          <w:sz w:val="24"/>
          <w:szCs w:val="24"/>
          <w:u w:val="none"/>
          <w:shd w:val="clear" w:fill="FFFFFF"/>
        </w:rPr>
        <w:fldChar w:fldCharType="begin"/>
      </w:r>
      <w:r>
        <w:rPr>
          <w:rFonts w:hint="eastAsia" w:ascii="宋体" w:hAnsi="宋体" w:eastAsia="宋体" w:cs="宋体"/>
          <w:i w:val="0"/>
          <w:caps w:val="0"/>
          <w:color w:val="auto"/>
          <w:spacing w:val="0"/>
          <w:sz w:val="24"/>
          <w:szCs w:val="24"/>
          <w:u w:val="none"/>
          <w:shd w:val="clear" w:fill="FFFFFF"/>
        </w:rPr>
        <w:instrText xml:space="preserve"> HYPERLINK "https://scholar.google.com/scholar_lookup?journal=Ann+Surg&amp;title=Cystadenomas+and+cystadenocarcinomas+of+the+pancreas:+a+multiinstitutional+retrospective+study+of+398+cases&amp;author=J+Le+Borgne&amp;author=L+de+Calan&amp;author=C+Partensky&amp;volume=230&amp;publication_year=1999&amp;pages=152-161&amp;pmid=10450728&amp;" \t "https://www.ncbi.nlm.nih.gov/pmc/articles/PMC4081133/pmc_ext" </w:instrText>
      </w:r>
      <w:r>
        <w:rPr>
          <w:rFonts w:hint="eastAsia" w:ascii="宋体" w:hAnsi="宋体" w:eastAsia="宋体" w:cs="宋体"/>
          <w:i w:val="0"/>
          <w:caps w:val="0"/>
          <w:color w:val="auto"/>
          <w:spacing w:val="0"/>
          <w:sz w:val="24"/>
          <w:szCs w:val="24"/>
          <w:u w:val="none"/>
          <w:shd w:val="clear" w:fill="FFFFFF"/>
        </w:rPr>
        <w:fldChar w:fldCharType="separate"/>
      </w:r>
      <w:r>
        <w:rPr>
          <w:rStyle w:val="16"/>
          <w:rFonts w:hint="eastAsia" w:ascii="宋体" w:hAnsi="宋体" w:eastAsia="宋体" w:cs="宋体"/>
          <w:i w:val="0"/>
          <w:caps w:val="0"/>
          <w:color w:val="auto"/>
          <w:spacing w:val="0"/>
          <w:sz w:val="24"/>
          <w:szCs w:val="24"/>
          <w:u w:val="none"/>
          <w:shd w:val="clear" w:fill="FFFFFF"/>
        </w:rPr>
        <w:t>Google Scholar</w:t>
      </w:r>
      <w:r>
        <w:rPr>
          <w:rFonts w:hint="eastAsia" w:ascii="宋体" w:hAnsi="宋体" w:eastAsia="宋体" w:cs="宋体"/>
          <w:i w:val="0"/>
          <w:caps w:val="0"/>
          <w:color w:val="auto"/>
          <w:spacing w:val="0"/>
          <w:sz w:val="24"/>
          <w:szCs w:val="24"/>
          <w:u w:val="none"/>
          <w:shd w:val="clear" w:fill="FFFFFF"/>
        </w:rPr>
        <w:fldChar w:fldCharType="end"/>
      </w:r>
      <w:r>
        <w:rPr>
          <w:rFonts w:hint="eastAsia" w:ascii="宋体" w:hAnsi="宋体" w:eastAsia="宋体" w:cs="宋体"/>
          <w:i w:val="0"/>
          <w:caps w:val="0"/>
          <w:color w:val="auto"/>
          <w:spacing w:val="0"/>
          <w:sz w:val="24"/>
          <w:szCs w:val="24"/>
          <w:u w:val="none"/>
          <w:shd w:val="clear" w:fill="FFFFFF"/>
        </w:rPr>
        <w:t>]</w:t>
      </w:r>
    </w:p>
    <w:p>
      <w:pPr>
        <w:numPr>
          <w:ilvl w:val="0"/>
          <w:numId w:val="5"/>
        </w:numPr>
        <w:rPr>
          <w:rFonts w:hint="eastAsia" w:ascii="宋体" w:hAnsi="宋体" w:eastAsia="宋体" w:cs="宋体"/>
          <w:i w:val="0"/>
          <w:caps w:val="0"/>
          <w:color w:val="auto"/>
          <w:spacing w:val="0"/>
          <w:sz w:val="24"/>
          <w:szCs w:val="24"/>
          <w:u w:val="none"/>
          <w:shd w:val="clear" w:fill="FFFFFF"/>
        </w:rPr>
      </w:pPr>
      <w:r>
        <w:rPr>
          <w:rFonts w:hint="eastAsia" w:ascii="宋体" w:hAnsi="宋体" w:eastAsia="宋体" w:cs="宋体"/>
          <w:i w:val="0"/>
          <w:caps w:val="0"/>
          <w:color w:val="auto"/>
          <w:spacing w:val="0"/>
          <w:sz w:val="24"/>
          <w:szCs w:val="24"/>
          <w:u w:val="none"/>
          <w:shd w:val="clear" w:fill="FFFFFF"/>
        </w:rPr>
        <w:t>Chang W-T, Lee K-T, Yang S-F. Cavernous hemangioma of the pancreas: report of a case. </w:t>
      </w:r>
      <w:r>
        <w:rPr>
          <w:rStyle w:val="15"/>
          <w:rFonts w:hint="eastAsia" w:ascii="宋体" w:hAnsi="宋体" w:eastAsia="宋体" w:cs="宋体"/>
          <w:i w:val="0"/>
          <w:caps w:val="0"/>
          <w:color w:val="auto"/>
          <w:spacing w:val="0"/>
          <w:sz w:val="24"/>
          <w:szCs w:val="24"/>
          <w:u w:val="none"/>
          <w:shd w:val="clear" w:fill="FFFFFF"/>
        </w:rPr>
        <w:t>Pancreas</w:t>
      </w:r>
      <w:r>
        <w:rPr>
          <w:rFonts w:hint="eastAsia" w:ascii="宋体" w:hAnsi="宋体" w:eastAsia="宋体" w:cs="宋体"/>
          <w:i w:val="0"/>
          <w:caps w:val="0"/>
          <w:color w:val="auto"/>
          <w:spacing w:val="0"/>
          <w:sz w:val="24"/>
          <w:szCs w:val="24"/>
          <w:u w:val="none"/>
          <w:shd w:val="clear" w:fill="FFFFFF"/>
        </w:rPr>
        <w:t>. 2003;26(3):310–312. [</w:t>
      </w:r>
      <w:r>
        <w:rPr>
          <w:rFonts w:hint="eastAsia" w:ascii="宋体" w:hAnsi="宋体" w:eastAsia="宋体" w:cs="宋体"/>
          <w:i w:val="0"/>
          <w:caps w:val="0"/>
          <w:color w:val="auto"/>
          <w:spacing w:val="0"/>
          <w:sz w:val="24"/>
          <w:szCs w:val="24"/>
          <w:u w:val="none"/>
          <w:shd w:val="clear" w:fill="FFFFFF"/>
        </w:rPr>
        <w:fldChar w:fldCharType="begin"/>
      </w:r>
      <w:r>
        <w:rPr>
          <w:rFonts w:hint="eastAsia" w:ascii="宋体" w:hAnsi="宋体" w:eastAsia="宋体" w:cs="宋体"/>
          <w:i w:val="0"/>
          <w:caps w:val="0"/>
          <w:color w:val="auto"/>
          <w:spacing w:val="0"/>
          <w:sz w:val="24"/>
          <w:szCs w:val="24"/>
          <w:u w:val="none"/>
          <w:shd w:val="clear" w:fill="FFFFFF"/>
        </w:rPr>
        <w:instrText xml:space="preserve"> HYPERLINK "https://www.ncbi.nlm.nih.gov/pubmed/12657961" \t "https://www.ncbi.nlm.nih.gov/pmc/articles/PMC2676326/pmc_ext" </w:instrText>
      </w:r>
      <w:r>
        <w:rPr>
          <w:rFonts w:hint="eastAsia" w:ascii="宋体" w:hAnsi="宋体" w:eastAsia="宋体" w:cs="宋体"/>
          <w:i w:val="0"/>
          <w:caps w:val="0"/>
          <w:color w:val="auto"/>
          <w:spacing w:val="0"/>
          <w:sz w:val="24"/>
          <w:szCs w:val="24"/>
          <w:u w:val="none"/>
          <w:shd w:val="clear" w:fill="FFFFFF"/>
        </w:rPr>
        <w:fldChar w:fldCharType="separate"/>
      </w:r>
      <w:r>
        <w:rPr>
          <w:rStyle w:val="16"/>
          <w:rFonts w:hint="eastAsia" w:ascii="宋体" w:hAnsi="宋体" w:eastAsia="宋体" w:cs="宋体"/>
          <w:i w:val="0"/>
          <w:caps w:val="0"/>
          <w:color w:val="auto"/>
          <w:spacing w:val="0"/>
          <w:sz w:val="24"/>
          <w:szCs w:val="24"/>
          <w:u w:val="none"/>
          <w:shd w:val="clear" w:fill="FFFFFF"/>
        </w:rPr>
        <w:t>PubMed</w:t>
      </w:r>
      <w:r>
        <w:rPr>
          <w:rFonts w:hint="eastAsia" w:ascii="宋体" w:hAnsi="宋体" w:eastAsia="宋体" w:cs="宋体"/>
          <w:i w:val="0"/>
          <w:caps w:val="0"/>
          <w:color w:val="auto"/>
          <w:spacing w:val="0"/>
          <w:sz w:val="24"/>
          <w:szCs w:val="24"/>
          <w:u w:val="none"/>
          <w:shd w:val="clear" w:fill="FFFFFF"/>
        </w:rPr>
        <w:fldChar w:fldCharType="end"/>
      </w:r>
      <w:r>
        <w:rPr>
          <w:rFonts w:hint="eastAsia" w:ascii="宋体" w:hAnsi="宋体" w:eastAsia="宋体" w:cs="宋体"/>
          <w:i w:val="0"/>
          <w:caps w:val="0"/>
          <w:color w:val="auto"/>
          <w:spacing w:val="0"/>
          <w:sz w:val="24"/>
          <w:szCs w:val="24"/>
          <w:u w:val="none"/>
          <w:shd w:val="clear" w:fill="FFFFFF"/>
        </w:rPr>
        <w:t>] [</w:t>
      </w:r>
      <w:r>
        <w:rPr>
          <w:rFonts w:hint="eastAsia" w:ascii="宋体" w:hAnsi="宋体" w:eastAsia="宋体" w:cs="宋体"/>
          <w:i w:val="0"/>
          <w:caps w:val="0"/>
          <w:color w:val="auto"/>
          <w:spacing w:val="0"/>
          <w:sz w:val="24"/>
          <w:szCs w:val="24"/>
          <w:u w:val="none"/>
          <w:shd w:val="clear" w:fill="FFFFFF"/>
        </w:rPr>
        <w:fldChar w:fldCharType="begin"/>
      </w:r>
      <w:r>
        <w:rPr>
          <w:rFonts w:hint="eastAsia" w:ascii="宋体" w:hAnsi="宋体" w:eastAsia="宋体" w:cs="宋体"/>
          <w:i w:val="0"/>
          <w:caps w:val="0"/>
          <w:color w:val="auto"/>
          <w:spacing w:val="0"/>
          <w:sz w:val="24"/>
          <w:szCs w:val="24"/>
          <w:u w:val="none"/>
          <w:shd w:val="clear" w:fill="FFFFFF"/>
        </w:rPr>
        <w:instrText xml:space="preserve"> HYPERLINK "https://scholar.google.com/scholar_lookup?journal=Pancreas&amp;title=Cavernous+hemangioma+of+the+pancreas:+report+of+a+case&amp;author=W-T+Chang&amp;author=K-T+Lee&amp;author=S-F+Yang&amp;volume=26&amp;issue=3&amp;publication_year=2003&amp;pages=310-312&amp;pmid=12657961&amp;" \t "https://www.ncbi.nlm.nih.gov/pmc/articles/PMC2676326/pmc_ext" </w:instrText>
      </w:r>
      <w:r>
        <w:rPr>
          <w:rFonts w:hint="eastAsia" w:ascii="宋体" w:hAnsi="宋体" w:eastAsia="宋体" w:cs="宋体"/>
          <w:i w:val="0"/>
          <w:caps w:val="0"/>
          <w:color w:val="auto"/>
          <w:spacing w:val="0"/>
          <w:sz w:val="24"/>
          <w:szCs w:val="24"/>
          <w:u w:val="none"/>
          <w:shd w:val="clear" w:fill="FFFFFF"/>
        </w:rPr>
        <w:fldChar w:fldCharType="separate"/>
      </w:r>
      <w:r>
        <w:rPr>
          <w:rStyle w:val="16"/>
          <w:rFonts w:hint="eastAsia" w:ascii="宋体" w:hAnsi="宋体" w:eastAsia="宋体" w:cs="宋体"/>
          <w:i w:val="0"/>
          <w:caps w:val="0"/>
          <w:color w:val="auto"/>
          <w:spacing w:val="0"/>
          <w:sz w:val="24"/>
          <w:szCs w:val="24"/>
          <w:u w:val="none"/>
          <w:shd w:val="clear" w:fill="FFFFFF"/>
        </w:rPr>
        <w:t>Google Scholar</w:t>
      </w:r>
      <w:r>
        <w:rPr>
          <w:rFonts w:hint="eastAsia" w:ascii="宋体" w:hAnsi="宋体" w:eastAsia="宋体" w:cs="宋体"/>
          <w:i w:val="0"/>
          <w:caps w:val="0"/>
          <w:color w:val="auto"/>
          <w:spacing w:val="0"/>
          <w:sz w:val="24"/>
          <w:szCs w:val="24"/>
          <w:u w:val="none"/>
          <w:shd w:val="clear" w:fill="FFFFFF"/>
        </w:rPr>
        <w:fldChar w:fldCharType="end"/>
      </w:r>
      <w:r>
        <w:rPr>
          <w:rFonts w:hint="eastAsia" w:ascii="宋体" w:hAnsi="宋体" w:eastAsia="宋体" w:cs="宋体"/>
          <w:i w:val="0"/>
          <w:caps w:val="0"/>
          <w:color w:val="auto"/>
          <w:spacing w:val="0"/>
          <w:sz w:val="24"/>
          <w:szCs w:val="24"/>
          <w:u w:val="none"/>
          <w:shd w:val="clear" w:fill="FFFFFF"/>
        </w:rPr>
        <w:t>]</w:t>
      </w:r>
    </w:p>
    <w:p>
      <w:pPr>
        <w:numPr>
          <w:ilvl w:val="0"/>
          <w:numId w:val="5"/>
        </w:numPr>
        <w:rPr>
          <w:rFonts w:hint="eastAsia" w:ascii="宋体" w:hAnsi="宋体" w:eastAsia="宋体" w:cs="宋体"/>
          <w:i w:val="0"/>
          <w:caps w:val="0"/>
          <w:color w:val="auto"/>
          <w:spacing w:val="0"/>
          <w:sz w:val="24"/>
          <w:szCs w:val="24"/>
          <w:u w:val="none"/>
          <w:shd w:val="clear" w:fill="FFFFFF"/>
          <w:lang w:val="en-US" w:eastAsia="zh-CN"/>
        </w:rPr>
      </w:pPr>
      <w:r>
        <w:rPr>
          <w:rFonts w:hint="eastAsia" w:ascii="宋体" w:hAnsi="宋体" w:eastAsia="宋体" w:cs="宋体"/>
          <w:i w:val="0"/>
          <w:caps w:val="0"/>
          <w:color w:val="auto"/>
          <w:spacing w:val="0"/>
          <w:sz w:val="24"/>
          <w:szCs w:val="24"/>
          <w:u w:val="none"/>
          <w:shd w:val="clear" w:fill="FFFFFF"/>
        </w:rPr>
        <w:t>Vogel AM, Alesbury JM, Fox VL, Fishman SJ. Complex pancreatic vascular anomalies in children. J Pediatr Surg. 2006;41:473–478. [</w:t>
      </w:r>
      <w:r>
        <w:rPr>
          <w:rFonts w:hint="eastAsia" w:ascii="宋体" w:hAnsi="宋体" w:eastAsia="宋体" w:cs="宋体"/>
          <w:i w:val="0"/>
          <w:caps w:val="0"/>
          <w:color w:val="auto"/>
          <w:spacing w:val="0"/>
          <w:sz w:val="24"/>
          <w:szCs w:val="24"/>
          <w:u w:val="none"/>
          <w:shd w:val="clear" w:fill="FFFFFF"/>
        </w:rPr>
        <w:fldChar w:fldCharType="begin"/>
      </w:r>
      <w:r>
        <w:rPr>
          <w:rFonts w:hint="eastAsia" w:ascii="宋体" w:hAnsi="宋体" w:eastAsia="宋体" w:cs="宋体"/>
          <w:i w:val="0"/>
          <w:caps w:val="0"/>
          <w:color w:val="auto"/>
          <w:spacing w:val="0"/>
          <w:sz w:val="24"/>
          <w:szCs w:val="24"/>
          <w:u w:val="none"/>
          <w:shd w:val="clear" w:fill="FFFFFF"/>
        </w:rPr>
        <w:instrText xml:space="preserve"> HYPERLINK "https://www.ncbi.nlm.nih.gov/pubmed/16516618" \t "https://www.ncbi.nlm.nih.gov/pmc/articles/PMC4081133/pmc_ext" </w:instrText>
      </w:r>
      <w:r>
        <w:rPr>
          <w:rFonts w:hint="eastAsia" w:ascii="宋体" w:hAnsi="宋体" w:eastAsia="宋体" w:cs="宋体"/>
          <w:i w:val="0"/>
          <w:caps w:val="0"/>
          <w:color w:val="auto"/>
          <w:spacing w:val="0"/>
          <w:sz w:val="24"/>
          <w:szCs w:val="24"/>
          <w:u w:val="none"/>
          <w:shd w:val="clear" w:fill="FFFFFF"/>
        </w:rPr>
        <w:fldChar w:fldCharType="separate"/>
      </w:r>
      <w:r>
        <w:rPr>
          <w:rStyle w:val="16"/>
          <w:rFonts w:hint="eastAsia" w:ascii="宋体" w:hAnsi="宋体" w:eastAsia="宋体" w:cs="宋体"/>
          <w:i w:val="0"/>
          <w:caps w:val="0"/>
          <w:color w:val="auto"/>
          <w:spacing w:val="0"/>
          <w:sz w:val="24"/>
          <w:szCs w:val="24"/>
          <w:u w:val="none"/>
          <w:shd w:val="clear" w:fill="FFFFFF"/>
        </w:rPr>
        <w:t>PubMed</w:t>
      </w:r>
      <w:r>
        <w:rPr>
          <w:rFonts w:hint="eastAsia" w:ascii="宋体" w:hAnsi="宋体" w:eastAsia="宋体" w:cs="宋体"/>
          <w:i w:val="0"/>
          <w:caps w:val="0"/>
          <w:color w:val="auto"/>
          <w:spacing w:val="0"/>
          <w:sz w:val="24"/>
          <w:szCs w:val="24"/>
          <w:u w:val="none"/>
          <w:shd w:val="clear" w:fill="FFFFFF"/>
        </w:rPr>
        <w:fldChar w:fldCharType="end"/>
      </w:r>
      <w:r>
        <w:rPr>
          <w:rFonts w:hint="eastAsia" w:ascii="宋体" w:hAnsi="宋体" w:eastAsia="宋体" w:cs="宋体"/>
          <w:i w:val="0"/>
          <w:caps w:val="0"/>
          <w:color w:val="auto"/>
          <w:spacing w:val="0"/>
          <w:sz w:val="24"/>
          <w:szCs w:val="24"/>
          <w:u w:val="none"/>
          <w:shd w:val="clear" w:fill="FFFFFF"/>
        </w:rPr>
        <w:t>] [</w:t>
      </w:r>
      <w:r>
        <w:rPr>
          <w:rFonts w:hint="eastAsia" w:ascii="宋体" w:hAnsi="宋体" w:eastAsia="宋体" w:cs="宋体"/>
          <w:i w:val="0"/>
          <w:caps w:val="0"/>
          <w:color w:val="auto"/>
          <w:spacing w:val="0"/>
          <w:sz w:val="24"/>
          <w:szCs w:val="24"/>
          <w:u w:val="none"/>
          <w:shd w:val="clear" w:fill="FFFFFF"/>
        </w:rPr>
        <w:fldChar w:fldCharType="begin"/>
      </w:r>
      <w:r>
        <w:rPr>
          <w:rFonts w:hint="eastAsia" w:ascii="宋体" w:hAnsi="宋体" w:eastAsia="宋体" w:cs="宋体"/>
          <w:i w:val="0"/>
          <w:caps w:val="0"/>
          <w:color w:val="auto"/>
          <w:spacing w:val="0"/>
          <w:sz w:val="24"/>
          <w:szCs w:val="24"/>
          <w:u w:val="none"/>
          <w:shd w:val="clear" w:fill="FFFFFF"/>
        </w:rPr>
        <w:instrText xml:space="preserve"> HYPERLINK "https://scholar.google.com/scholar_lookup?journal=J+Pediatr+Surg&amp;title=Complex+pancreatic+vascular+anomalies+in+children&amp;author=AM+Vogel&amp;author=JM+Alesbury&amp;author=VL+Fox&amp;author=SJ+Fishman&amp;volume=41&amp;publication_year=2006&amp;pages=473-478&amp;pmid=16516618&amp;" \t "https://www.ncbi.nlm.nih.gov/pmc/articles/PMC4081133/pmc_ext" </w:instrText>
      </w:r>
      <w:r>
        <w:rPr>
          <w:rFonts w:hint="eastAsia" w:ascii="宋体" w:hAnsi="宋体" w:eastAsia="宋体" w:cs="宋体"/>
          <w:i w:val="0"/>
          <w:caps w:val="0"/>
          <w:color w:val="auto"/>
          <w:spacing w:val="0"/>
          <w:sz w:val="24"/>
          <w:szCs w:val="24"/>
          <w:u w:val="none"/>
          <w:shd w:val="clear" w:fill="FFFFFF"/>
        </w:rPr>
        <w:fldChar w:fldCharType="separate"/>
      </w:r>
      <w:r>
        <w:rPr>
          <w:rStyle w:val="16"/>
          <w:rFonts w:hint="eastAsia" w:ascii="宋体" w:hAnsi="宋体" w:eastAsia="宋体" w:cs="宋体"/>
          <w:i w:val="0"/>
          <w:caps w:val="0"/>
          <w:color w:val="auto"/>
          <w:spacing w:val="0"/>
          <w:sz w:val="24"/>
          <w:szCs w:val="24"/>
          <w:u w:val="none"/>
          <w:shd w:val="clear" w:fill="FFFFFF"/>
        </w:rPr>
        <w:t>Google Scholar</w:t>
      </w:r>
      <w:r>
        <w:rPr>
          <w:rFonts w:hint="eastAsia" w:ascii="宋体" w:hAnsi="宋体" w:eastAsia="宋体" w:cs="宋体"/>
          <w:i w:val="0"/>
          <w:caps w:val="0"/>
          <w:color w:val="auto"/>
          <w:spacing w:val="0"/>
          <w:sz w:val="24"/>
          <w:szCs w:val="24"/>
          <w:u w:val="none"/>
          <w:shd w:val="clear" w:fill="FFFFFF"/>
        </w:rPr>
        <w:fldChar w:fldCharType="end"/>
      </w:r>
      <w:r>
        <w:rPr>
          <w:rFonts w:hint="eastAsia" w:ascii="宋体" w:hAnsi="宋体" w:eastAsia="宋体" w:cs="宋体"/>
          <w:i w:val="0"/>
          <w:caps w:val="0"/>
          <w:color w:val="auto"/>
          <w:spacing w:val="0"/>
          <w:sz w:val="24"/>
          <w:szCs w:val="24"/>
          <w:u w:val="none"/>
          <w:shd w:val="clear" w:fill="FFFFFF"/>
        </w:rPr>
        <w:t>]</w:t>
      </w:r>
    </w:p>
    <w:p>
      <w:pPr>
        <w:rPr>
          <w:rFonts w:hint="eastAsia" w:ascii="宋体" w:hAnsi="宋体" w:eastAsia="宋体" w:cs="宋体"/>
          <w:sz w:val="24"/>
          <w:szCs w:val="24"/>
          <w:lang w:val="en-US" w:eastAsia="zh-CN"/>
        </w:rPr>
      </w:pPr>
      <w:r>
        <w:rPr>
          <w:rFonts w:hint="eastAsia" w:ascii="宋体" w:hAnsi="宋体" w:eastAsia="宋体" w:cs="宋体"/>
          <w:sz w:val="24"/>
          <w:szCs w:val="24"/>
        </w:rPr>
        <mc:AlternateContent>
          <mc:Choice Requires="wps">
            <w:drawing>
              <wp:anchor distT="0" distB="0" distL="114300" distR="114300" simplePos="0" relativeHeight="251663360" behindDoc="0" locked="0" layoutInCell="1" allowOverlap="1">
                <wp:simplePos x="0" y="0"/>
                <wp:positionH relativeFrom="column">
                  <wp:posOffset>5022215</wp:posOffset>
                </wp:positionH>
                <wp:positionV relativeFrom="paragraph">
                  <wp:posOffset>1582420</wp:posOffset>
                </wp:positionV>
                <wp:extent cx="258445" cy="258445"/>
                <wp:effectExtent l="0" t="0" r="0" b="0"/>
                <wp:wrapNone/>
                <wp:docPr id="36" name="文本框 36"/>
                <wp:cNvGraphicFramePr/>
                <a:graphic xmlns:a="http://schemas.openxmlformats.org/drawingml/2006/main">
                  <a:graphicData uri="http://schemas.microsoft.com/office/word/2010/wordprocessingShape">
                    <wps:wsp>
                      <wps:cNvSpPr txBox="1"/>
                      <wps:spPr>
                        <a:xfrm>
                          <a:off x="5062855" y="9128125"/>
                          <a:ext cx="258445" cy="258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45pt;margin-top:124.6pt;height:20.35pt;width:20.35pt;z-index:251663360;mso-width-relative:page;mso-height-relative:page;" filled="f" stroked="f" coordsize="21600,21600" o:gfxdata="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9TqXPcAAAACwEAAA8AAAAAAAAA&#10;AQAgAAAAIgAAAGRycy9kb3ducmV2LnhtbFBLAQIUABQAAAAIAIdO4kCXpAWJRgIAAHMEAAAOAAAA&#10;AAAAAAEAIAAAACsBAABkcnMvZTJvRG9jLnhtbFBLBQYAAAAABgAGAFkBAADjBQAAAAA=&#10;">
                <v:fill on="f" focussize="0,0"/>
                <v:stroke on="f" weight="0.5pt"/>
                <v:imagedata o:title=""/>
                <o:lock v:ext="edit" aspectratio="f"/>
                <v:textbox>
                  <w:txbxContent>
                    <w:p>
                      <w:pPr>
                        <w:rPr>
                          <w:rFonts w:hint="eastAsia" w:eastAsiaTheme="minorEastAsia"/>
                          <w:lang w:val="en-US" w:eastAsia="zh-CN"/>
                        </w:rPr>
                      </w:pPr>
                      <w:r>
                        <w:rPr>
                          <w:rFonts w:hint="eastAsia"/>
                          <w:lang w:val="en-US" w:eastAsia="zh-CN"/>
                        </w:rPr>
                        <w:t>2</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5043170</wp:posOffset>
                </wp:positionH>
                <wp:positionV relativeFrom="paragraph">
                  <wp:posOffset>1621790</wp:posOffset>
                </wp:positionV>
                <wp:extent cx="223520" cy="224790"/>
                <wp:effectExtent l="0" t="0" r="5080" b="3810"/>
                <wp:wrapNone/>
                <wp:docPr id="37" name="椭圆 37"/>
                <wp:cNvGraphicFramePr/>
                <a:graphic xmlns:a="http://schemas.openxmlformats.org/drawingml/2006/main">
                  <a:graphicData uri="http://schemas.microsoft.com/office/word/2010/wordprocessingShape">
                    <wps:wsp>
                      <wps:cNvSpPr/>
                      <wps:spPr>
                        <a:xfrm>
                          <a:off x="6212840" y="8534400"/>
                          <a:ext cx="223520" cy="224790"/>
                        </a:xfrm>
                        <a:prstGeom prst="ellipse">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97.1pt;margin-top:127.7pt;height:17.7pt;width:17.6pt;z-index:251662336;v-text-anchor:middle;mso-width-relative:page;mso-height-relative:page;" fillcolor="#FFFFFF [3212]" filled="t" stroked="f" coordsize="21600,21600" o:gfxdata="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7IPtj2gAAAAsBAAAPAAAAAAAAAAEAIAAAACIA&#10;AABkcnMvZG93bnJldi54bWxQSwECFAAUAAAACACHTuJA3oE37XkCAADbBAAADgAAAAAAAAABACAA&#10;AAApAQAAZHJzL2Uyb0RvYy54bWxQSwUGAAAAAAYABgBZAQAAFAYAAAAA&#10;">
                <v:fill on="t" focussize="0,0"/>
                <v:stroke on="f" weight="1.5pt" miterlimit="8" joinstyle="miter"/>
                <v:imagedata o:title=""/>
                <o:lock v:ext="edit" aspectratio="f"/>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2144395</wp:posOffset>
                </wp:positionH>
                <wp:positionV relativeFrom="paragraph">
                  <wp:posOffset>1614170</wp:posOffset>
                </wp:positionV>
                <wp:extent cx="239395" cy="252730"/>
                <wp:effectExtent l="0" t="0" r="0" b="0"/>
                <wp:wrapNone/>
                <wp:docPr id="38" name="文本框 38"/>
                <wp:cNvGraphicFramePr/>
                <a:graphic xmlns:a="http://schemas.openxmlformats.org/drawingml/2006/main">
                  <a:graphicData uri="http://schemas.microsoft.com/office/word/2010/wordprocessingShape">
                    <wps:wsp>
                      <wps:cNvSpPr txBox="1"/>
                      <wps:spPr>
                        <a:xfrm>
                          <a:off x="1844675" y="9199245"/>
                          <a:ext cx="239395" cy="252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85pt;margin-top:127.1pt;height:19.9pt;width:18.85pt;z-index:251661312;mso-width-relative:page;mso-height-relative:page;" filled="f" stroked="f" coordsize="21600,21600" o:gfxdata="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mc6Id0AAAALAQAADwAA&#10;AAAAAAABACAAAAAiAAAAZHJzL2Rvd25yZXYueG1sUEsBAhQAFAAAAAgAh07iQG2UzCRKAgAAcwQA&#10;AA4AAAAAAAAAAQAgAAAALAEAAGRycy9lMm9Eb2MueG1sUEsFBgAAAAAGAAYAWQEAAOgFAAAAAA==&#10;">
                <v:fill on="f" focussize="0,0"/>
                <v:stroke on="f" weight="0.5pt"/>
                <v:imagedata o:title=""/>
                <o:lock v:ext="edit" aspectratio="f"/>
                <v:textbox>
                  <w:txbxContent>
                    <w:p>
                      <w:pPr>
                        <w:rPr>
                          <w:rFonts w:hint="eastAsia" w:eastAsiaTheme="minorEastAsia"/>
                          <w:lang w:val="en-US" w:eastAsia="zh-CN"/>
                        </w:rPr>
                      </w:pPr>
                      <w:r>
                        <w:rPr>
                          <w:rFonts w:hint="eastAsia"/>
                          <w:lang w:val="en-US" w:eastAsia="zh-CN"/>
                        </w:rPr>
                        <w:t>1</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0288" behindDoc="0" locked="0" layoutInCell="1" allowOverlap="1">
                <wp:simplePos x="0" y="0"/>
                <wp:positionH relativeFrom="column">
                  <wp:posOffset>2158365</wp:posOffset>
                </wp:positionH>
                <wp:positionV relativeFrom="paragraph">
                  <wp:posOffset>1653540</wp:posOffset>
                </wp:positionV>
                <wp:extent cx="224155" cy="210820"/>
                <wp:effectExtent l="6350" t="6350" r="17145" b="11430"/>
                <wp:wrapNone/>
                <wp:docPr id="39" name="椭圆 39"/>
                <wp:cNvGraphicFramePr/>
                <a:graphic xmlns:a="http://schemas.openxmlformats.org/drawingml/2006/main">
                  <a:graphicData uri="http://schemas.microsoft.com/office/word/2010/wordprocessingShape">
                    <wps:wsp>
                      <wps:cNvSpPr/>
                      <wps:spPr>
                        <a:xfrm>
                          <a:off x="3253105" y="8512175"/>
                          <a:ext cx="224155" cy="2108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9.95pt;margin-top:130.2pt;height:16.6pt;width:17.65pt;z-index:251660288;v-text-anchor:middle;mso-width-relative:page;mso-height-relative:page;" fillcolor="#FFFFFF [3212]" filled="t" stroked="t" coordsize="21600,21600" o:gfxdata="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SU5RdwAAAALAQAADwAAAAAAAAABACAA&#10;AAAiAAAAZHJzL2Rvd25yZXYueG1sUEsBAhQAFAAAAAgAh07iQKbT/XJ7AgAABAUAAA4AAAAAAAAA&#10;AQAgAAAAKwEAAGRycy9lMm9Eb2MueG1sUEsFBgAAAAAGAAYAWQEAABgGAAAAAA==&#10;">
                <v:fill on="t" focussize="0,0"/>
                <v:stroke weight="1pt" color="#FFFFFF [3212]" miterlimit="8" joinstyle="miter"/>
                <v:imagedata o:title=""/>
                <o:lock v:ext="edit" aspectratio="f"/>
              </v:shape>
            </w:pict>
          </mc:Fallback>
        </mc:AlternateContent>
      </w:r>
      <w:r>
        <w:rPr>
          <w:rFonts w:hint="eastAsia" w:ascii="宋体" w:hAnsi="宋体" w:eastAsia="宋体" w:cs="宋体"/>
          <w:sz w:val="24"/>
          <w:szCs w:val="24"/>
        </w:rPr>
        <w:drawing>
          <wp:inline distT="0" distB="0" distL="114300" distR="114300">
            <wp:extent cx="2411730" cy="1790700"/>
            <wp:effectExtent l="0" t="0" r="762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3"/>
                    <a:stretch>
                      <a:fillRect/>
                    </a:stretch>
                  </pic:blipFill>
                  <pic:spPr>
                    <a:xfrm>
                      <a:off x="0" y="0"/>
                      <a:ext cx="2411730" cy="179070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400300" cy="1779905"/>
            <wp:effectExtent l="0" t="0" r="0" b="1079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34"/>
                    <a:stretch>
                      <a:fillRect/>
                    </a:stretch>
                  </pic:blipFill>
                  <pic:spPr>
                    <a:xfrm>
                      <a:off x="0" y="0"/>
                      <a:ext cx="2400300" cy="177990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643505" cy="1915795"/>
            <wp:effectExtent l="0" t="0" r="4445" b="825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35"/>
                    <a:stretch>
                      <a:fillRect/>
                    </a:stretch>
                  </pic:blipFill>
                  <pic:spPr>
                    <a:xfrm>
                      <a:off x="0" y="0"/>
                      <a:ext cx="2643505" cy="191579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539365" cy="1918970"/>
            <wp:effectExtent l="0" t="0" r="13335" b="508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36"/>
                    <a:stretch>
                      <a:fillRect/>
                    </a:stretch>
                  </pic:blipFill>
                  <pic:spPr>
                    <a:xfrm>
                      <a:off x="0" y="0"/>
                      <a:ext cx="2539365" cy="191897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454910" cy="1841500"/>
            <wp:effectExtent l="0" t="0" r="2540" b="6350"/>
            <wp:docPr id="44" name="图片 44" descr="201918737-5 H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01918737-5 HE  400×"/>
                    <pic:cNvPicPr>
                      <a:picLocks noChangeAspect="1"/>
                    </pic:cNvPicPr>
                  </pic:nvPicPr>
                  <pic:blipFill>
                    <a:blip r:embed="rId37"/>
                    <a:stretch>
                      <a:fillRect/>
                    </a:stretch>
                  </pic:blipFill>
                  <pic:spPr>
                    <a:xfrm>
                      <a:off x="0" y="0"/>
                      <a:ext cx="2454910" cy="184150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2477770" cy="1858645"/>
            <wp:effectExtent l="0" t="0" r="17780" b="8255"/>
            <wp:docPr id="45" name="图片 45" descr="201918737-H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01918737-HE 100×"/>
                    <pic:cNvPicPr>
                      <a:picLocks noChangeAspect="1"/>
                    </pic:cNvPicPr>
                  </pic:nvPicPr>
                  <pic:blipFill>
                    <a:blip r:embed="rId38"/>
                    <a:stretch>
                      <a:fillRect/>
                    </a:stretch>
                  </pic:blipFill>
                  <pic:spPr>
                    <a:xfrm>
                      <a:off x="0" y="0"/>
                      <a:ext cx="2477770" cy="1858645"/>
                    </a:xfrm>
                    <a:prstGeom prst="rect">
                      <a:avLst/>
                    </a:prstGeom>
                  </pic:spPr>
                </pic:pic>
              </a:graphicData>
            </a:graphic>
          </wp:inline>
        </w:drawing>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通讯地址：湖北省黄石市黄市中心医院放射科 435000</w:t>
      </w:r>
    </w:p>
    <w:p>
      <w:pPr>
        <w:numPr>
          <w:ilvl w:val="0"/>
          <w:numId w:val="6"/>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mail：</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"mailto:nic-mercury@163.com" </w:instrText>
      </w:r>
      <w:r>
        <w:rPr>
          <w:rFonts w:hint="eastAsia" w:ascii="宋体" w:hAnsi="宋体" w:eastAsia="宋体" w:cs="宋体"/>
          <w:sz w:val="24"/>
          <w:szCs w:val="24"/>
          <w:lang w:val="en-US" w:eastAsia="zh-CN"/>
        </w:rPr>
        <w:fldChar w:fldCharType="separate"/>
      </w:r>
      <w:r>
        <w:rPr>
          <w:rStyle w:val="16"/>
          <w:rFonts w:hint="eastAsia" w:ascii="宋体" w:hAnsi="宋体" w:eastAsia="宋体" w:cs="宋体"/>
          <w:sz w:val="24"/>
          <w:szCs w:val="24"/>
          <w:lang w:val="en-US" w:eastAsia="zh-CN"/>
        </w:rPr>
        <w:t>nic-mercury@163.com</w:t>
      </w:r>
      <w:r>
        <w:rPr>
          <w:rFonts w:hint="eastAsia" w:ascii="宋体" w:hAnsi="宋体" w:eastAsia="宋体" w:cs="宋体"/>
          <w:sz w:val="24"/>
          <w:szCs w:val="24"/>
          <w:lang w:val="en-US" w:eastAsia="zh-CN"/>
        </w:rPr>
        <w:fldChar w:fldCharType="end"/>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手机号：15997112004</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jc w:val="center"/>
        <w:rPr>
          <w:rFonts w:hint="eastAsia" w:ascii="宋体" w:hAnsi="宋体" w:eastAsia="宋体" w:cs="宋体"/>
          <w:sz w:val="24"/>
          <w:szCs w:val="24"/>
        </w:rPr>
      </w:pPr>
      <w:r>
        <w:rPr>
          <w:rFonts w:hint="eastAsia" w:ascii="宋体" w:hAnsi="宋体" w:eastAsia="宋体" w:cs="宋体"/>
          <w:sz w:val="24"/>
          <w:szCs w:val="24"/>
        </w:rPr>
        <w:t>64排螺旋CT头颈部减影CTA的临床应用</w:t>
      </w:r>
    </w:p>
    <w:p>
      <w:pPr>
        <w:jc w:val="center"/>
        <w:rPr>
          <w:rFonts w:hint="eastAsia" w:ascii="宋体" w:hAnsi="宋体" w:eastAsia="宋体" w:cs="宋体"/>
          <w:sz w:val="24"/>
          <w:szCs w:val="24"/>
        </w:rPr>
      </w:pPr>
      <w:r>
        <w:rPr>
          <w:rFonts w:hint="eastAsia" w:ascii="宋体" w:hAnsi="宋体" w:eastAsia="宋体" w:cs="宋体"/>
          <w:sz w:val="24"/>
          <w:szCs w:val="24"/>
        </w:rPr>
        <w:t>邓宏亮 童三龙 雷鸣峰 黎  钧 周雄刚 何丽娟</w:t>
      </w:r>
    </w:p>
    <w:p>
      <w:pPr>
        <w:jc w:val="center"/>
        <w:rPr>
          <w:rFonts w:hint="eastAsia" w:ascii="宋体" w:hAnsi="宋体" w:eastAsia="宋体" w:cs="宋体"/>
          <w:sz w:val="24"/>
          <w:szCs w:val="24"/>
        </w:rPr>
      </w:pPr>
      <w:r>
        <w:rPr>
          <w:rFonts w:hint="eastAsia" w:ascii="宋体" w:hAnsi="宋体" w:eastAsia="宋体" w:cs="宋体"/>
          <w:sz w:val="24"/>
          <w:szCs w:val="24"/>
        </w:rPr>
        <w:t xml:space="preserve">（通城县人民医院放射影像科，咸宁  通城  437400） </w:t>
      </w: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【摘要】 目的：探讨64排螺旋CT头颈部减影CTA检查技术，评价其临床应用价值。资料与方法：回顾性分析45例64排螺旋CT头颈部减影CTA的影像资料，讨论其技术特点，图像质量及临床应用范围，诊断结果与手术或DSA比较。结果：本组检查及成像参数合理、有效，患者检查全部成功。图像质量满足诊断要求，分别为良好28例(62.3%)，好15例(32.5%)，一般2例(5.2%)。45例中发现阳性病变39例，其中颅内血管病变29例，颈部血管病变10例。64排螺旋CT头颈部减影CTA诊断结果与手术或DSA检查比较，结果基本一致。结论：64排螺旋CT头颈部减影CTA能减少骨结构等对血管的阻挡，有利于显示头颈部血管病变，提高影像诊断准确率。</w:t>
      </w:r>
    </w:p>
    <w:p>
      <w:pPr>
        <w:rPr>
          <w:rFonts w:hint="eastAsia" w:ascii="宋体" w:hAnsi="宋体" w:eastAsia="宋体" w:cs="宋体"/>
          <w:sz w:val="24"/>
          <w:szCs w:val="24"/>
        </w:rPr>
      </w:pPr>
      <w:r>
        <w:rPr>
          <w:rFonts w:hint="eastAsia" w:ascii="宋体" w:hAnsi="宋体" w:eastAsia="宋体" w:cs="宋体"/>
          <w:sz w:val="24"/>
          <w:szCs w:val="24"/>
        </w:rPr>
        <w:t>【关键词】头颈部血管；CT数字减影；体层摄影术，X线计算机</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近年来，多层螺旋CT血管成像发展迅速，尤其是64排及以上螺旋CT机的时间分辨率和空间分辨率有了空前提高，实现了大范围各向同性容积数据的高速连续采集，配合强大而灵活的图像后处理功能，CTA图像质量有了很大改善，已成为头颈部血管成像不可或缺的重要手段。快速、微创、成像质量好是CTA的几大优点，但由于受颈椎及颅底骨的影响，有时影响血管显示，降低图像质量。本文探讨利用64排螺旋CT数字减影技术进行头颈部动脉CT血管成像的方法与优势，以弥补常规头颈部CTA的不足。</w:t>
      </w:r>
    </w:p>
    <w:p>
      <w:pPr>
        <w:rPr>
          <w:rFonts w:hint="eastAsia" w:ascii="宋体" w:hAnsi="宋体" w:eastAsia="宋体" w:cs="宋体"/>
          <w:sz w:val="24"/>
          <w:szCs w:val="24"/>
        </w:rPr>
      </w:pPr>
      <w:r>
        <w:rPr>
          <w:rFonts w:hint="eastAsia" w:ascii="宋体" w:hAnsi="宋体" w:eastAsia="宋体" w:cs="宋体"/>
          <w:sz w:val="24"/>
          <w:szCs w:val="24"/>
        </w:rPr>
        <w:t>1 资料与方法</w:t>
      </w:r>
    </w:p>
    <w:p>
      <w:pPr>
        <w:rPr>
          <w:rFonts w:hint="eastAsia" w:ascii="宋体" w:hAnsi="宋体" w:eastAsia="宋体" w:cs="宋体"/>
          <w:sz w:val="24"/>
          <w:szCs w:val="24"/>
        </w:rPr>
      </w:pPr>
      <w:r>
        <w:rPr>
          <w:rFonts w:hint="eastAsia" w:ascii="宋体" w:hAnsi="宋体" w:eastAsia="宋体" w:cs="宋体"/>
          <w:sz w:val="24"/>
          <w:szCs w:val="24"/>
        </w:rPr>
        <w:t>1.1 病例资料 45例怀疑头颈部血管病变及蛛网膜下腔出血、脑出血患者行64层螺旋CT头颈部减影CTA成像，男26例，女19例；年龄37～75岁，平均54岁，其中15例在行CT扫描后一周之内行DSA检查。</w:t>
      </w:r>
    </w:p>
    <w:p>
      <w:pPr>
        <w:rPr>
          <w:rFonts w:hint="eastAsia" w:ascii="宋体" w:hAnsi="宋体" w:eastAsia="宋体" w:cs="宋体"/>
          <w:sz w:val="24"/>
          <w:szCs w:val="24"/>
        </w:rPr>
      </w:pPr>
      <w:r>
        <w:rPr>
          <w:rFonts w:hint="eastAsia" w:ascii="宋体" w:hAnsi="宋体" w:eastAsia="宋体" w:cs="宋体"/>
          <w:sz w:val="24"/>
          <w:szCs w:val="24"/>
        </w:rPr>
        <w:t xml:space="preserve">1.2头颈部减影CTA检查方法 </w:t>
      </w:r>
    </w:p>
    <w:p>
      <w:pPr>
        <w:rPr>
          <w:rFonts w:hint="eastAsia" w:ascii="宋体" w:hAnsi="宋体" w:eastAsia="宋体" w:cs="宋体"/>
          <w:sz w:val="24"/>
          <w:szCs w:val="24"/>
        </w:rPr>
      </w:pPr>
      <w:r>
        <w:rPr>
          <w:rFonts w:hint="eastAsia" w:ascii="宋体" w:hAnsi="宋体" w:eastAsia="宋体" w:cs="宋体"/>
          <w:sz w:val="24"/>
          <w:szCs w:val="24"/>
        </w:rPr>
        <w:t>1.2.1获取图像数据 45例均使用64排螺旋CT-LightSpeed VCT（美国通用电器），连续容积扫描模式，患者仰卧于扫描床上，用特殊头架固定头颅，嘱患者扫描时头部保持不动，不要做吞咽及眨眼动作，先行平扫。主要扫描参数参数：探测器排列64×0.625mm，层厚0.625mm，螺距0.984：1，120KV，300mAs，360度旋转时间：0.4s，采集矩阵512×512，显示矩阵1024×1024。平扫结束后，参数不变，行增强扫描，利用高压注射器，经肘前静脉注入对比剂碘比乐 (370mgI/ml)0.8～1.2ml/kg，注射速率5ml/s，采用头颈血管数字减影（CTA-DSA），利用同步减影方法：在定位像上选取第4颈椎水平平面作为触发水平定位线，感兴趣区选在注药之上肢对侧颈内动脉（一般选右上肢注药，感兴趣区选在左侧颈内动脉），小剂量测试法测得峰值后扫描。在同一系列中设定两个扫描计划，小剂量测试峰值时间减去平扫所需时间，等于平扫至增强开始扫描的间隔时间（如小剂量测试峰值时间为19秒，平扫所需时间为5.8秒，那么平扫至增强时的间隔时间为13.2秒），平扫与增强扫描的参数、位置、层面中心及视野完全保持一致，注药时同时启动扫描。扫描范围从主动脉弓至颅顶。</w:t>
      </w:r>
    </w:p>
    <w:p>
      <w:pPr>
        <w:rPr>
          <w:rFonts w:hint="eastAsia" w:ascii="宋体" w:hAnsi="宋体" w:eastAsia="宋体" w:cs="宋体"/>
          <w:sz w:val="24"/>
          <w:szCs w:val="24"/>
        </w:rPr>
      </w:pPr>
      <w:r>
        <w:rPr>
          <w:rFonts w:hint="eastAsia" w:ascii="宋体" w:hAnsi="宋体" w:eastAsia="宋体" w:cs="宋体"/>
          <w:sz w:val="24"/>
          <w:szCs w:val="24"/>
        </w:rPr>
        <w:t>1.2.2 图像后处理 CT扫描完毕后将采集数据传输至后处理AW4.4工作站，利用CTA软件进行重建，同步减影技术在同一扫描序列完成平扫和增强扫描，实行同步减影，减影后的图像重建可去除颈椎骨及颅骨，一次采集即获得颈部及全脑动脉血管数据，利用血管重组软件从减影图像中提取动脉血管进行重组，重组技术主要为容积再现 (VR)，得到类似DSA血管的效果，同时进行常规CTA后处理，包括多层面重组 (MPR)、最大密度投影 (MIP)及容积再现 (VR)等高级血管分析，并配合旋转、切割、拉直像等技术立体合成，使血管与周围组织对应解剖关系清晰显示。</w:t>
      </w:r>
    </w:p>
    <w:p>
      <w:pPr>
        <w:rPr>
          <w:rFonts w:hint="eastAsia" w:ascii="宋体" w:hAnsi="宋体" w:eastAsia="宋体" w:cs="宋体"/>
          <w:sz w:val="24"/>
          <w:szCs w:val="24"/>
        </w:rPr>
      </w:pPr>
      <w:r>
        <w:rPr>
          <w:rFonts w:hint="eastAsia" w:ascii="宋体" w:hAnsi="宋体" w:eastAsia="宋体" w:cs="宋体"/>
          <w:sz w:val="24"/>
          <w:szCs w:val="24"/>
        </w:rPr>
        <w:t>2 结果</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45例患者检查全部成功，图像质量满足诊断要求。头颈部减影CTA均能显示颈总动脉、颈内动脉、椎动脉及其主要分支，按以下标准划分图像等级：颈椎及颅骨去除干净，血管充盈满意，边缘清晰，与周围组织对比强，脑底动脉环及远端分支多为良好；颅骨去除干净，部分椎动脉边缘存在横突骨质，血管显示较好，边缘尚清，与周围组织对比好，脑底动脉环显示好，其远端分支较少为好；颈椎去除较好，部分颅底骨未完全去除，血管充盈可，边缘稍模糊，与周围对比欠佳，脑底动脉环及远端分支少为一般，分别达到良好28例(62.3%)，好15例(32.5%)，一般2例(5.2%)。45例中发现阳性病变39例，其中颅内血管病变29例，颈部血管病变10例。分析头颈部减影CTA与常规头颈部CTA在VR、MIP成像显示血管分支、血管边缘及管腔充盈情况，在颈部动脉的显示上未见明显差异；在颅内动脉及主要分支方面，常规CTA由于受颅底骨及前床突骨质影响，在上述部位血管的显示及血管分支数量上不如减影CTA。减影CTA与15例DSA比较，图像基本一致。追踪头颈部减影CTA诊断结果与手术或DSA检查比较，结果基本一致。</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171575" cy="1171575"/>
            <wp:effectExtent l="0" t="0" r="952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9"/>
                    <a:stretch>
                      <a:fillRect/>
                    </a:stretch>
                  </pic:blipFill>
                  <pic:spPr>
                    <a:xfrm>
                      <a:off x="0" y="0"/>
                      <a:ext cx="1171575" cy="1171575"/>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171575" cy="117157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0"/>
                    <a:stretch>
                      <a:fillRect/>
                    </a:stretch>
                  </pic:blipFill>
                  <pic:spPr>
                    <a:xfrm>
                      <a:off x="0" y="0"/>
                      <a:ext cx="1171575" cy="1171575"/>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171575" cy="1171575"/>
            <wp:effectExtent l="0" t="0" r="9525"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1"/>
                    <a:stretch>
                      <a:fillRect/>
                    </a:stretch>
                  </pic:blipFill>
                  <pic:spPr>
                    <a:xfrm>
                      <a:off x="0" y="0"/>
                      <a:ext cx="1171575" cy="1171575"/>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171575" cy="1171575"/>
            <wp:effectExtent l="0" t="0" r="9525"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2"/>
                    <a:stretch>
                      <a:fillRect/>
                    </a:stretch>
                  </pic:blipFill>
                  <pic:spPr>
                    <a:xfrm>
                      <a:off x="0" y="0"/>
                      <a:ext cx="1171575" cy="1171575"/>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171575" cy="11715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3"/>
                    <a:stretch>
                      <a:fillRect/>
                    </a:stretch>
                  </pic:blipFill>
                  <pic:spPr>
                    <a:xfrm>
                      <a:off x="0" y="0"/>
                      <a:ext cx="1171575" cy="1171575"/>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171575" cy="1171575"/>
            <wp:effectExtent l="0" t="0" r="952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44"/>
                    <a:stretch>
                      <a:fillRect/>
                    </a:stretch>
                  </pic:blipFill>
                  <pic:spPr>
                    <a:xfrm>
                      <a:off x="0" y="0"/>
                      <a:ext cx="1171575" cy="1171575"/>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171575" cy="1171575"/>
            <wp:effectExtent l="0" t="0" r="9525" b="952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45"/>
                    <a:stretch>
                      <a:fillRect/>
                    </a:stretch>
                  </pic:blipFill>
                  <pic:spPr>
                    <a:xfrm>
                      <a:off x="0" y="0"/>
                      <a:ext cx="1171575" cy="1171575"/>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171575" cy="1171575"/>
            <wp:effectExtent l="0" t="0" r="9525" b="952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46"/>
                    <a:stretch>
                      <a:fillRect/>
                    </a:stretch>
                  </pic:blipFill>
                  <pic:spPr>
                    <a:xfrm>
                      <a:off x="0" y="0"/>
                      <a:ext cx="1171575" cy="1171575"/>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t>男，50岁。头颈部减影CTA与常规CTA示：脑动脉硬化伴左侧颈内动脉颈段及左侧椎动脉颅内段节段性瘤状扩张。</w:t>
      </w:r>
    </w:p>
    <w:p>
      <w:pPr>
        <w:rPr>
          <w:rFonts w:hint="eastAsia" w:ascii="宋体" w:hAnsi="宋体" w:eastAsia="宋体" w:cs="宋体"/>
          <w:sz w:val="24"/>
          <w:szCs w:val="24"/>
        </w:rPr>
      </w:pPr>
      <w:r>
        <w:rPr>
          <w:rFonts w:hint="eastAsia" w:ascii="宋体" w:hAnsi="宋体" w:eastAsia="宋体" w:cs="宋体"/>
          <w:sz w:val="24"/>
          <w:szCs w:val="24"/>
        </w:rPr>
        <w:t>3 讨论</w:t>
      </w:r>
    </w:p>
    <w:p>
      <w:pPr>
        <w:rPr>
          <w:rFonts w:hint="eastAsia" w:ascii="宋体" w:hAnsi="宋体" w:eastAsia="宋体" w:cs="宋体"/>
          <w:sz w:val="24"/>
          <w:szCs w:val="24"/>
        </w:rPr>
      </w:pPr>
      <w:r>
        <w:rPr>
          <w:rFonts w:hint="eastAsia" w:ascii="宋体" w:hAnsi="宋体" w:eastAsia="宋体" w:cs="宋体"/>
          <w:sz w:val="24"/>
          <w:szCs w:val="24"/>
        </w:rPr>
        <w:t>3.1 减影CTA的方法与原理  随着医学影像技术的发展，MSCT特别是64排螺旋CT血管成像微创、费用低廉、检查迅速、便捷，空间分辨率、时间分辨率明显提高，扫描覆盖范围进一步扩大，真正实现了图像质量的“各向同性”</w:t>
      </w:r>
      <w:r>
        <w:rPr>
          <w:rFonts w:hint="eastAsia" w:ascii="宋体" w:hAnsi="宋体" w:eastAsia="宋体" w:cs="宋体"/>
          <w:sz w:val="24"/>
          <w:szCs w:val="24"/>
          <w:vertAlign w:val="superscript"/>
        </w:rPr>
        <w:t>[1]</w:t>
      </w:r>
      <w:r>
        <w:rPr>
          <w:rFonts w:hint="eastAsia" w:ascii="宋体" w:hAnsi="宋体" w:eastAsia="宋体" w:cs="宋体"/>
          <w:sz w:val="24"/>
          <w:szCs w:val="24"/>
        </w:rPr>
        <w:t>，一次扫描可以充分显示头颈部血管结构。减影CTA是多层螺旋CT配置的一项新技术软件，在头颈部血管成像时用特殊头部固定装置进行固定制动，先平扫，后增强，使2次扫描所检查的位置、范围及扫描参数完全相同，平扫与增强扫描实现像素对像素，图像配准，将2组薄层图像数据传输至工作站，通过减影软件将增强前骨骼的三维模型从增强后的数据中减去，得到头颈部血管减影类似DSA、MRA的图像，然后再进行血管三维重组，原理类似DSA</w:t>
      </w:r>
      <w:r>
        <w:rPr>
          <w:rFonts w:hint="eastAsia" w:ascii="宋体" w:hAnsi="宋体" w:eastAsia="宋体" w:cs="宋体"/>
          <w:sz w:val="24"/>
          <w:szCs w:val="24"/>
          <w:vertAlign w:val="superscript"/>
        </w:rPr>
        <w:t>[2]</w:t>
      </w:r>
      <w:r>
        <w:rPr>
          <w:rFonts w:hint="eastAsia" w:ascii="宋体" w:hAnsi="宋体" w:eastAsia="宋体" w:cs="宋体"/>
          <w:sz w:val="24"/>
          <w:szCs w:val="24"/>
        </w:rPr>
        <w:t>。</w:t>
      </w:r>
    </w:p>
    <w:p>
      <w:pPr>
        <w:rPr>
          <w:rFonts w:hint="eastAsia" w:ascii="宋体" w:hAnsi="宋体" w:eastAsia="宋体" w:cs="宋体"/>
          <w:sz w:val="24"/>
          <w:szCs w:val="24"/>
        </w:rPr>
      </w:pPr>
      <w:r>
        <w:rPr>
          <w:rFonts w:hint="eastAsia" w:ascii="宋体" w:hAnsi="宋体" w:eastAsia="宋体" w:cs="宋体"/>
          <w:sz w:val="24"/>
          <w:szCs w:val="24"/>
        </w:rPr>
        <w:t>3.2 头颈部减影CTA的优势  既往头颈部CTA动脉的显示需要设定阈值、利用手动去骨等手段，头颈部动脉的良好显示需要花费较长时间和过多精力，并且阈值选择不当容易切割部分血管，使血管丢失影响图像质量。而64层螺旋CT数字减影技术的利用，很好地解决了这一难题，将增强前后薄层图像数据传入工作站，进行自动减影可一次性去除颈椎和颅底骨，省时、便捷。此外，经对比分析，减影CTA与常规CTA对颈部动脉的显示图像质量无明显差别，减影CTA对于颅内血管及分支情况的显示优于常规CTA，15例减影CTA后又行DSA检查，减影CTA的检查结果与DSA基本一致。常规头颈部CTA多为MIP与VR联合应用，减影CTA图像后处理主要用VR，VR是根据容积数据内像素的CT值不同，从观察者的方向对所有像素进行投影，并以不同灰阶的形式显示出来，并且几乎利用了所有数据，可显示重叠的血管及邻近结构的三维关系</w:t>
      </w:r>
      <w:r>
        <w:rPr>
          <w:rFonts w:hint="eastAsia" w:ascii="宋体" w:hAnsi="宋体" w:eastAsia="宋体" w:cs="宋体"/>
          <w:sz w:val="24"/>
          <w:szCs w:val="24"/>
          <w:vertAlign w:val="superscript"/>
        </w:rPr>
        <w:t>[3]</w:t>
      </w:r>
      <w:r>
        <w:rPr>
          <w:rFonts w:hint="eastAsia" w:ascii="宋体" w:hAnsi="宋体" w:eastAsia="宋体" w:cs="宋体"/>
          <w:sz w:val="24"/>
          <w:szCs w:val="24"/>
        </w:rPr>
        <w:t>。常规CTA后处理包括多层面重组 (MPR)、最大密度投影 (MIP)及容积再现 (VR)等高级血管分析，并配合旋转、切割、拉直像等技术立体合成，使血管与周围组织对应解剖关系清晰显示。其中MIP是叠加的投影，骨骼和钙化等高密度结构可掩盖血管图像，不能反映结构深层次关系，但MIP像较细致，类似血管造影，不易遗漏信息；多数学者认为VR和MIP技术优于其他重组技术，VR与MIP的联合应用对于显示头颈部动脉的大小、形态、范围及其分支情况使后处理技术得到明显的提高。减影后重建头颈部动脉血管图像与常规CTA后处理图像结合整体显示头颈部动脉血管优于DSA。缺点为该方法患者所接受的放射剂量大于常规CTA。</w:t>
      </w:r>
    </w:p>
    <w:p>
      <w:pPr>
        <w:rPr>
          <w:rFonts w:hint="eastAsia" w:ascii="宋体" w:hAnsi="宋体" w:eastAsia="宋体" w:cs="宋体"/>
          <w:sz w:val="24"/>
          <w:szCs w:val="24"/>
        </w:rPr>
      </w:pPr>
      <w:r>
        <w:rPr>
          <w:rFonts w:hint="eastAsia" w:ascii="宋体" w:hAnsi="宋体" w:eastAsia="宋体" w:cs="宋体"/>
          <w:sz w:val="24"/>
          <w:szCs w:val="24"/>
        </w:rPr>
        <w:t>3.3 头颈部减影CTA技术应注意把握的几个关键因素  ①头颈部平扫与增强扫描起始位置、扫描参数要保持高度一致，采集的数据空间位置才能相同，减影软件才能进行图像相减的运算，才能把增强后图像中的骨骼从平扫中去除，达到减影的目的，否则会影响图像质量。甚至减影失败</w:t>
      </w:r>
      <w:r>
        <w:rPr>
          <w:rFonts w:hint="eastAsia" w:ascii="宋体" w:hAnsi="宋体" w:eastAsia="宋体" w:cs="宋体"/>
          <w:sz w:val="24"/>
          <w:szCs w:val="24"/>
          <w:vertAlign w:val="superscript"/>
        </w:rPr>
        <w:t>[4]</w:t>
      </w:r>
      <w:r>
        <w:rPr>
          <w:rFonts w:hint="eastAsia" w:ascii="宋体" w:hAnsi="宋体" w:eastAsia="宋体" w:cs="宋体"/>
          <w:sz w:val="24"/>
          <w:szCs w:val="24"/>
        </w:rPr>
        <w:t>。②扫描过程中保证患者不动是减影成功的另一关键因素。因为扫描过程中出现运动会使血管产生伪影、甚至中断，减影效果较差；因此，扫描前除用特殊头架固定外还要反复叮嘱患者保持固定，不要做吞咽和眨眼运动。本组45例均因扫描开始前详细告知而检查成功。③注意增强延迟时间的适当设定，保证血管图像质量。延迟时间过早，动脉内造影剂浓度不够，血管显示不好，延迟时间过迟，动脉显影同时静脉也有显示，使动脉成像受到干扰。本组利用造影剂小剂量测试技术，先测量出颈4平面颈动脉内造影剂峰值时间，再计算出增强延迟时间。</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总之，64排螺旋CT头颈部减影CTA技术是一种安全、快捷、直观的血管减影术，能提供高分辨率的头颈部血管图像。达到类似DSA的效果，为头颈部血管性病变的诊断提供了良好的技术支持，具有较高的临床应用价值。</w:t>
      </w:r>
    </w:p>
    <w:p>
      <w:pPr>
        <w:rPr>
          <w:rFonts w:hint="eastAsia" w:ascii="宋体" w:hAnsi="宋体" w:eastAsia="宋体" w:cs="宋体"/>
          <w:sz w:val="24"/>
          <w:szCs w:val="24"/>
        </w:rPr>
      </w:pPr>
      <w:r>
        <w:rPr>
          <w:rFonts w:hint="eastAsia" w:ascii="宋体" w:hAnsi="宋体" w:eastAsia="宋体" w:cs="宋体"/>
          <w:sz w:val="24"/>
          <w:szCs w:val="24"/>
        </w:rPr>
        <w:t>参考文献</w:t>
      </w:r>
    </w:p>
    <w:p>
      <w:pPr>
        <w:rPr>
          <w:rFonts w:hint="eastAsia" w:ascii="宋体" w:hAnsi="宋体" w:eastAsia="宋体" w:cs="宋体"/>
          <w:sz w:val="24"/>
          <w:szCs w:val="24"/>
        </w:rPr>
      </w:pPr>
      <w:r>
        <w:rPr>
          <w:rFonts w:hint="eastAsia" w:ascii="宋体" w:hAnsi="宋体" w:eastAsia="宋体" w:cs="宋体"/>
          <w:sz w:val="24"/>
          <w:szCs w:val="24"/>
        </w:rPr>
        <w:t>[1]戴汝平.冠状动脉多排螺旋CT成像[M].北京:科学出版社,2007:9.</w:t>
      </w:r>
    </w:p>
    <w:p>
      <w:pPr>
        <w:rPr>
          <w:rFonts w:hint="eastAsia" w:ascii="宋体" w:hAnsi="宋体" w:eastAsia="宋体" w:cs="宋体"/>
          <w:sz w:val="24"/>
          <w:szCs w:val="24"/>
        </w:rPr>
      </w:pPr>
      <w:r>
        <w:rPr>
          <w:rFonts w:hint="eastAsia" w:ascii="宋体" w:hAnsi="宋体" w:eastAsia="宋体" w:cs="宋体"/>
          <w:sz w:val="24"/>
          <w:szCs w:val="24"/>
        </w:rPr>
        <w:t>[2]许权,杨春霞,王书智等.16层螺旋CT数字减影术在颈部动脉的成像研究[J].临床放射学杂志,2008,27(4):449—451.</w:t>
      </w:r>
    </w:p>
    <w:p>
      <w:pPr>
        <w:rPr>
          <w:rFonts w:hint="eastAsia" w:ascii="宋体" w:hAnsi="宋体" w:eastAsia="宋体" w:cs="宋体"/>
          <w:sz w:val="24"/>
          <w:szCs w:val="24"/>
        </w:rPr>
      </w:pPr>
      <w:r>
        <w:rPr>
          <w:rFonts w:hint="eastAsia" w:ascii="宋体" w:hAnsi="宋体" w:eastAsia="宋体" w:cs="宋体"/>
          <w:sz w:val="24"/>
          <w:szCs w:val="24"/>
        </w:rPr>
        <w:t>[3]Verhoek G,Costello P.Khoo EW,et a1.Carotid bifurcation CT angiography:assessment of interactive volume rendering[J].J Comput Assist Tomogr,1999.23:590.</w:t>
      </w:r>
    </w:p>
    <w:p>
      <w:pPr>
        <w:rPr>
          <w:rFonts w:hint="eastAsia" w:ascii="宋体" w:hAnsi="宋体" w:eastAsia="宋体" w:cs="宋体"/>
          <w:sz w:val="24"/>
          <w:szCs w:val="24"/>
        </w:rPr>
      </w:pPr>
      <w:r>
        <w:rPr>
          <w:rFonts w:hint="eastAsia" w:ascii="宋体" w:hAnsi="宋体" w:eastAsia="宋体" w:cs="宋体"/>
          <w:sz w:val="24"/>
          <w:szCs w:val="24"/>
        </w:rPr>
        <w:t>[4]党军,王静,刘文亚.减影CTA成像技术在脑动脉瘤诊断中的优势.临床放射学杂志.2007.26(10);1 033—036.</w:t>
      </w: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beforeLines="0" w:afterLines="0"/>
        <w:jc w:val="left"/>
        <w:rPr>
          <w:rFonts w:hint="eastAsia" w:ascii="宋体" w:hAnsi="宋体" w:eastAsia="宋体" w:cs="宋体"/>
          <w:b/>
          <w:bCs/>
          <w:i w:val="0"/>
          <w:color w:val="000000"/>
          <w:sz w:val="24"/>
          <w:szCs w:val="24"/>
          <w:u w:val="none"/>
          <w:lang w:val="en-US" w:eastAsia="zh-CN"/>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t>摘要：结节性硬化症TSC是一种以全身多器官错构瘤病变为特点的常染色体显性遗传病，最常见于颅脑和皮肤，发病机制为失活的TSC基因激活mTOR通路促进细胞过度增殖和分化，形成各种良恶性肿瘤。TSC不仅要注重神经系统病变及皮肤改变，同时也要密切关注其各种胸部表现，包括参与TSC诊断标准的肺淋巴管肌瘤病、心脏横纹肌瘤及有助于诊断的硬化性骨病等，并且部分胸部表现会引起相应的临床症状，严重时可危及生命。以往的文献着重描写TSC的头部及腹部疾病，对胸部的描写尚存在补充之处，本综述的目的是描述TSC在胸部的临床表现、发病机制、病理过程和影像学特征的最新研究进展。</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t>通讯地址：湖北省荆州市中心医院放射科</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t>邮编：434323</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t>email：</w:t>
      </w:r>
      <w:r>
        <w:rPr>
          <w:rFonts w:hint="eastAsia" w:ascii="宋体" w:hAnsi="宋体" w:eastAsia="宋体" w:cs="宋体"/>
          <w:color w:val="064977"/>
          <w:kern w:val="0"/>
          <w:sz w:val="24"/>
          <w:szCs w:val="24"/>
          <w:lang w:val="en-US" w:eastAsia="zh-CN" w:bidi="ar"/>
        </w:rPr>
        <w:fldChar w:fldCharType="begin"/>
      </w:r>
      <w:r>
        <w:rPr>
          <w:rFonts w:hint="eastAsia" w:ascii="宋体" w:hAnsi="宋体" w:eastAsia="宋体" w:cs="宋体"/>
          <w:color w:val="064977"/>
          <w:kern w:val="0"/>
          <w:sz w:val="24"/>
          <w:szCs w:val="24"/>
          <w:lang w:val="en-US" w:eastAsia="zh-CN" w:bidi="ar"/>
        </w:rPr>
        <w:instrText xml:space="preserve"> HYPERLINK "mailto:980527053@qq.com" </w:instrText>
      </w:r>
      <w:r>
        <w:rPr>
          <w:rFonts w:hint="eastAsia" w:ascii="宋体" w:hAnsi="宋体" w:eastAsia="宋体" w:cs="宋体"/>
          <w:color w:val="064977"/>
          <w:kern w:val="0"/>
          <w:sz w:val="24"/>
          <w:szCs w:val="24"/>
          <w:lang w:val="en-US" w:eastAsia="zh-CN" w:bidi="ar"/>
        </w:rPr>
        <w:fldChar w:fldCharType="separate"/>
      </w:r>
      <w:r>
        <w:rPr>
          <w:rStyle w:val="16"/>
          <w:rFonts w:hint="eastAsia" w:ascii="宋体" w:hAnsi="宋体" w:eastAsia="宋体" w:cs="宋体"/>
          <w:color w:val="064977"/>
          <w:sz w:val="24"/>
          <w:szCs w:val="24"/>
        </w:rPr>
        <w:t>980527053@qq.com</w:t>
      </w:r>
      <w:r>
        <w:rPr>
          <w:rFonts w:hint="eastAsia" w:ascii="宋体" w:hAnsi="宋体" w:eastAsia="宋体" w:cs="宋体"/>
          <w:color w:val="064977"/>
          <w:kern w:val="0"/>
          <w:sz w:val="24"/>
          <w:szCs w:val="24"/>
          <w:lang w:val="en-US" w:eastAsia="zh-CN" w:bidi="ar"/>
        </w:rPr>
        <w:fldChar w:fldCharType="end"/>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t>手机号码：17683995283</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b/>
          <w:sz w:val="24"/>
          <w:szCs w:val="24"/>
        </w:rPr>
      </w:pPr>
    </w:p>
    <w:p>
      <w:pPr>
        <w:spacing w:beforeLines="0" w:afterLines="0"/>
        <w:jc w:val="left"/>
        <w:rPr>
          <w:rFonts w:hint="eastAsia" w:ascii="宋体" w:hAnsi="宋体" w:eastAsia="宋体" w:cs="宋体"/>
          <w:b/>
          <w:bCs/>
          <w:i w:val="0"/>
          <w:color w:val="000000"/>
          <w:sz w:val="24"/>
          <w:szCs w:val="24"/>
          <w:u w:val="none"/>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方正兰亭超细黑简体">
    <w:panose1 w:val="02000000000000000000"/>
    <w:charset w:val="86"/>
    <w:family w:val="auto"/>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696899"/>
    <w:multiLevelType w:val="singleLevel"/>
    <w:tmpl w:val="AA696899"/>
    <w:lvl w:ilvl="0" w:tentative="0">
      <w:start w:val="1"/>
      <w:numFmt w:val="decimal"/>
      <w:lvlText w:val="%1."/>
      <w:lvlJc w:val="left"/>
      <w:pPr>
        <w:tabs>
          <w:tab w:val="left" w:pos="312"/>
        </w:tabs>
      </w:pPr>
    </w:lvl>
  </w:abstractNum>
  <w:abstractNum w:abstractNumId="1">
    <w:nsid w:val="FBBC4A34"/>
    <w:multiLevelType w:val="singleLevel"/>
    <w:tmpl w:val="FBBC4A34"/>
    <w:lvl w:ilvl="0" w:tentative="0">
      <w:start w:val="1"/>
      <w:numFmt w:val="decimal"/>
      <w:lvlText w:val="[%1]"/>
      <w:lvlJc w:val="left"/>
      <w:pPr>
        <w:tabs>
          <w:tab w:val="left" w:pos="420"/>
        </w:tabs>
        <w:ind w:left="425" w:hanging="425"/>
      </w:pPr>
      <w:rPr>
        <w:rFonts w:hint="default"/>
      </w:rPr>
    </w:lvl>
  </w:abstractNum>
  <w:abstractNum w:abstractNumId="2">
    <w:nsid w:val="0F0725E2"/>
    <w:multiLevelType w:val="multilevel"/>
    <w:tmpl w:val="0F0725E2"/>
    <w:lvl w:ilvl="0" w:tentative="0">
      <w:start w:val="1"/>
      <w:numFmt w:val="decimal"/>
      <w:lvlText w:val="%1"/>
      <w:lvlJc w:val="left"/>
      <w:pPr>
        <w:ind w:left="425" w:hanging="425"/>
      </w:pPr>
      <w:rPr>
        <w:rFonts w:hint="default"/>
      </w:rPr>
    </w:lvl>
    <w:lvl w:ilvl="1" w:tentative="0">
      <w:start w:val="1"/>
      <w:numFmt w:val="decimal"/>
      <w:lvlText w:val="%1.%2"/>
      <w:lvlJc w:val="left"/>
      <w:pPr>
        <w:ind w:left="992" w:hanging="567"/>
      </w:pPr>
      <w:rPr>
        <w:rFonts w:hint="default" w:ascii="Times New Roman" w:hAnsi="Times New Roman" w:cs="Times New Roman"/>
      </w:rPr>
    </w:lvl>
    <w:lvl w:ilvl="2" w:tentative="0">
      <w:start w:val="1"/>
      <w:numFmt w:val="decimal"/>
      <w:lvlText w:val="%1.%2.%3"/>
      <w:lvlJc w:val="left"/>
      <w:pPr>
        <w:ind w:left="1418" w:hanging="567"/>
      </w:pPr>
      <w:rPr>
        <w:rFonts w:hint="default"/>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3">
    <w:nsid w:val="14878432"/>
    <w:multiLevelType w:val="singleLevel"/>
    <w:tmpl w:val="14878432"/>
    <w:lvl w:ilvl="0" w:tentative="0">
      <w:start w:val="1"/>
      <w:numFmt w:val="decimal"/>
      <w:lvlText w:val="%1."/>
      <w:lvlJc w:val="left"/>
      <w:pPr>
        <w:tabs>
          <w:tab w:val="left" w:pos="312"/>
        </w:tabs>
      </w:pPr>
    </w:lvl>
  </w:abstractNum>
  <w:abstractNum w:abstractNumId="4">
    <w:nsid w:val="20DF8FB5"/>
    <w:multiLevelType w:val="singleLevel"/>
    <w:tmpl w:val="20DF8FB5"/>
    <w:lvl w:ilvl="0" w:tentative="0">
      <w:start w:val="1"/>
      <w:numFmt w:val="decimal"/>
      <w:lvlText w:val="(%1)"/>
      <w:lvlJc w:val="left"/>
      <w:pPr>
        <w:tabs>
          <w:tab w:val="left" w:pos="312"/>
        </w:tabs>
      </w:pPr>
    </w:lvl>
  </w:abstractNum>
  <w:abstractNum w:abstractNumId="5">
    <w:nsid w:val="4C6A5836"/>
    <w:multiLevelType w:val="singleLevel"/>
    <w:tmpl w:val="4C6A5836"/>
    <w:lvl w:ilvl="0" w:tentative="0">
      <w:start w:val="5"/>
      <w:numFmt w:val="upperLetter"/>
      <w:suff w:val="nothing"/>
      <w:lvlText w:val="%1-"/>
      <w:lvlJc w:val="left"/>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864267"/>
    <w:rsid w:val="03FE3821"/>
    <w:rsid w:val="071263DA"/>
    <w:rsid w:val="0A466403"/>
    <w:rsid w:val="109F4570"/>
    <w:rsid w:val="1893152A"/>
    <w:rsid w:val="1DBB57D3"/>
    <w:rsid w:val="208A0C32"/>
    <w:rsid w:val="281D15C9"/>
    <w:rsid w:val="2AFD6944"/>
    <w:rsid w:val="2DD05822"/>
    <w:rsid w:val="336F1D0F"/>
    <w:rsid w:val="3539026A"/>
    <w:rsid w:val="3A242F1E"/>
    <w:rsid w:val="3AA135FC"/>
    <w:rsid w:val="3B1E708F"/>
    <w:rsid w:val="3B8240D5"/>
    <w:rsid w:val="3EE0725C"/>
    <w:rsid w:val="423B4CD9"/>
    <w:rsid w:val="4CCA608E"/>
    <w:rsid w:val="53366658"/>
    <w:rsid w:val="54C474E3"/>
    <w:rsid w:val="56115857"/>
    <w:rsid w:val="593F53F2"/>
    <w:rsid w:val="5DBB10F2"/>
    <w:rsid w:val="5F974A25"/>
    <w:rsid w:val="61697EC4"/>
    <w:rsid w:val="689C0D6A"/>
    <w:rsid w:val="6B5949F8"/>
    <w:rsid w:val="6E770808"/>
    <w:rsid w:val="7B6C21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footer"/>
    <w:basedOn w:val="1"/>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Subtitle"/>
    <w:basedOn w:val="1"/>
    <w:next w:val="1"/>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FollowedHyperlink"/>
    <w:basedOn w:val="12"/>
    <w:qFormat/>
    <w:uiPriority w:val="0"/>
    <w:rPr>
      <w:color w:val="800080"/>
      <w:u w:val="single"/>
    </w:rPr>
  </w:style>
  <w:style w:type="character" w:styleId="15">
    <w:name w:val="Emphasis"/>
    <w:basedOn w:val="12"/>
    <w:qFormat/>
    <w:uiPriority w:val="0"/>
    <w:rPr>
      <w:i/>
    </w:rPr>
  </w:style>
  <w:style w:type="character" w:styleId="16">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image" Target="media/image1.tiff"/><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theme" Target="theme/theme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wmf"/><Relationship Id="rId31" Type="http://schemas.openxmlformats.org/officeDocument/2006/relationships/oleObject" Target="embeddings/oleObject1.bin"/><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2021-04-07T14:00:00Z</dcterms:created>
  <dc:creator>Administrator</dc:creator>
  <cp:lastModifiedBy>lenovo</cp:lastModifiedBy>
  <dcterms:modified xsi:type="dcterms:W3CDTF">2021-09-07T02:37:55Z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FCCE5767EAE3428CA012465A3E550E29</vt:lpwstr>
  </property>
</Properties>
</file>